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FE" w:rsidRPr="00D72E4F" w:rsidRDefault="00DE09FE" w:rsidP="00DE09FE">
      <w:pPr>
        <w:jc w:val="center"/>
        <w:rPr>
          <w:rFonts w:ascii="Sylfaen" w:hAnsi="Sylfaen"/>
          <w:b/>
          <w:sz w:val="22"/>
          <w:szCs w:val="22"/>
        </w:rPr>
      </w:pPr>
      <w:r w:rsidRPr="00D72E4F">
        <w:rPr>
          <w:rFonts w:ascii="Sylfaen" w:hAnsi="Sylfaen"/>
          <w:b/>
          <w:sz w:val="22"/>
          <w:szCs w:val="22"/>
        </w:rPr>
        <w:t>Press Release</w:t>
      </w:r>
    </w:p>
    <w:p w:rsidR="00DE09FE" w:rsidRPr="00D72E4F" w:rsidRDefault="00DE09FE" w:rsidP="00DE09FE">
      <w:pPr>
        <w:jc w:val="right"/>
        <w:rPr>
          <w:rFonts w:ascii="Sylfaen" w:hAnsi="Sylfaen"/>
          <w:b/>
          <w:sz w:val="18"/>
          <w:szCs w:val="18"/>
        </w:rPr>
      </w:pPr>
      <w:r w:rsidRPr="00D72E4F">
        <w:rPr>
          <w:rFonts w:ascii="Sylfaen" w:hAnsi="Sylfaen"/>
          <w:b/>
          <w:sz w:val="18"/>
          <w:szCs w:val="18"/>
        </w:rPr>
        <w:t>March 1, 2016</w:t>
      </w:r>
    </w:p>
    <w:p w:rsidR="00DE09FE" w:rsidRPr="00D72E4F" w:rsidRDefault="00DE09FE" w:rsidP="00DE09FE">
      <w:pPr>
        <w:jc w:val="right"/>
        <w:rPr>
          <w:rFonts w:ascii="Sylfaen" w:hAnsi="Sylfaen"/>
          <w:b/>
          <w:sz w:val="18"/>
          <w:szCs w:val="18"/>
        </w:rPr>
      </w:pPr>
    </w:p>
    <w:p w:rsidR="00DE09FE" w:rsidRPr="00D72E4F" w:rsidRDefault="00DE09FE" w:rsidP="00DE09FE">
      <w:pPr>
        <w:jc w:val="center"/>
        <w:rPr>
          <w:rFonts w:ascii="Sylfaen" w:hAnsi="Sylfaen"/>
          <w:b/>
          <w:sz w:val="22"/>
          <w:szCs w:val="22"/>
        </w:rPr>
      </w:pPr>
      <w:r w:rsidRPr="00D72E4F">
        <w:rPr>
          <w:rFonts w:ascii="Sylfaen" w:hAnsi="Sylfaen"/>
          <w:b/>
          <w:sz w:val="22"/>
          <w:szCs w:val="22"/>
        </w:rPr>
        <w:t>On 7</w:t>
      </w:r>
      <w:r w:rsidRPr="00D72E4F">
        <w:rPr>
          <w:rFonts w:ascii="Sylfaen" w:hAnsi="Sylfaen"/>
          <w:b/>
          <w:sz w:val="22"/>
          <w:szCs w:val="22"/>
          <w:vertAlign w:val="superscript"/>
        </w:rPr>
        <w:t>th</w:t>
      </w:r>
      <w:r w:rsidRPr="00D72E4F">
        <w:rPr>
          <w:rFonts w:ascii="Sylfaen" w:hAnsi="Sylfaen"/>
          <w:b/>
          <w:sz w:val="22"/>
          <w:szCs w:val="22"/>
        </w:rPr>
        <w:t xml:space="preserve"> court hearing of Avetisyans family murder case</w:t>
      </w:r>
    </w:p>
    <w:p w:rsidR="00DE09FE" w:rsidRPr="00D72E4F" w:rsidRDefault="00DE09FE" w:rsidP="00DE09FE">
      <w:pPr>
        <w:jc w:val="right"/>
        <w:rPr>
          <w:rFonts w:ascii="Sylfaen" w:hAnsi="Sylfaen"/>
          <w:sz w:val="18"/>
          <w:szCs w:val="18"/>
        </w:rPr>
      </w:pP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On February 26, 2016, the General Jurisdiction Court of Shirak Marz (Region) held the 7</w:t>
      </w:r>
      <w:r w:rsidRPr="00D72E4F">
        <w:rPr>
          <w:rFonts w:ascii="Sylfaen" w:hAnsi="Sylfaen"/>
          <w:sz w:val="21"/>
          <w:szCs w:val="21"/>
          <w:vertAlign w:val="superscript"/>
        </w:rPr>
        <w:t>th</w:t>
      </w:r>
      <w:r w:rsidRPr="00D72E4F">
        <w:rPr>
          <w:rFonts w:ascii="Sylfaen" w:hAnsi="Sylfaen"/>
          <w:sz w:val="21"/>
          <w:szCs w:val="21"/>
        </w:rPr>
        <w:t xml:space="preserve"> outgoing hearing on Avetisyans family murder case on the territory of the Russian military base № 102.</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At the hearing, the Court questioned witnesses of the case</w:t>
      </w:r>
      <w:r>
        <w:rPr>
          <w:rFonts w:ascii="Sylfaen" w:hAnsi="Sylfaen"/>
          <w:sz w:val="21"/>
          <w:szCs w:val="21"/>
        </w:rPr>
        <w:t>,</w:t>
      </w:r>
      <w:r w:rsidRPr="00D72E4F">
        <w:rPr>
          <w:rFonts w:ascii="Sylfaen" w:hAnsi="Sylfaen"/>
          <w:sz w:val="21"/>
          <w:szCs w:val="21"/>
        </w:rPr>
        <w:t xml:space="preserve"> driver at border guard outpost Ara Atoyan, Deputy Commander of Border Troops Sergey Merzlikin, Deputy Head of Gyumri Border Troops Detachment of Russian FSS in Armenia Alexander Kruglov and senior officer of the detachment Igor Braga.</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 xml:space="preserve">In his testimony, S. Merzlikin mentioned that upon learning at night of January 12, 2015 that a </w:t>
      </w:r>
      <w:r>
        <w:rPr>
          <w:rFonts w:ascii="Sylfaen" w:hAnsi="Sylfaen"/>
          <w:sz w:val="21"/>
          <w:szCs w:val="21"/>
        </w:rPr>
        <w:t>soldier</w:t>
      </w:r>
      <w:r w:rsidRPr="00D72E4F">
        <w:rPr>
          <w:rFonts w:ascii="Sylfaen" w:hAnsi="Sylfaen"/>
          <w:sz w:val="21"/>
          <w:szCs w:val="21"/>
        </w:rPr>
        <w:t xml:space="preserve"> had deserted the military base, he took the best hunting dog and started search operations. The dog found Permyakov’s traces and helmet in the area of the military base and </w:t>
      </w:r>
      <w:r>
        <w:rPr>
          <w:rFonts w:ascii="Sylfaen" w:hAnsi="Sylfaen"/>
          <w:sz w:val="21"/>
          <w:szCs w:val="21"/>
        </w:rPr>
        <w:t>followed them till</w:t>
      </w:r>
      <w:r w:rsidRPr="00D72E4F">
        <w:rPr>
          <w:rFonts w:ascii="Sylfaen" w:hAnsi="Sylfaen"/>
          <w:sz w:val="21"/>
          <w:szCs w:val="21"/>
        </w:rPr>
        <w:t xml:space="preserve"> it reached a private house in Gyumri and found Permyakov’s footprints there. The witness thought that Permyakov failed to orient himself there.</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According to the testimony of witness S. Merzlikin, next day, at midnight as he contacted Khachatryan, Captain at Bayandur outpost, he learnt that they had spotted a person in civilian clothes look</w:t>
      </w:r>
      <w:r>
        <w:rPr>
          <w:rFonts w:ascii="Sylfaen" w:hAnsi="Sylfaen"/>
          <w:sz w:val="21"/>
          <w:szCs w:val="21"/>
        </w:rPr>
        <w:t>ing</w:t>
      </w:r>
      <w:r w:rsidRPr="00D72E4F">
        <w:rPr>
          <w:rFonts w:ascii="Sylfaen" w:hAnsi="Sylfaen"/>
          <w:sz w:val="21"/>
          <w:szCs w:val="21"/>
        </w:rPr>
        <w:t xml:space="preserve"> like Permyakov. They got the impression that Permyakov intended to pass to </w:t>
      </w:r>
      <w:smartTag w:uri="urn:schemas-microsoft-com:office:smarttags" w:element="place">
        <w:smartTag w:uri="urn:schemas-microsoft-com:office:smarttags" w:element="country-region">
          <w:r w:rsidRPr="00D72E4F">
            <w:rPr>
              <w:rFonts w:ascii="Sylfaen" w:hAnsi="Sylfaen"/>
              <w:sz w:val="21"/>
              <w:szCs w:val="21"/>
            </w:rPr>
            <w:t>Turkey</w:t>
          </w:r>
        </w:smartTag>
      </w:smartTag>
      <w:r w:rsidRPr="00D72E4F">
        <w:rPr>
          <w:rFonts w:ascii="Sylfaen" w:hAnsi="Sylfaen"/>
          <w:sz w:val="21"/>
          <w:szCs w:val="21"/>
        </w:rPr>
        <w:t>.</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 xml:space="preserve">Then Permyakovin was taken to his office and after the </w:t>
      </w:r>
      <w:r>
        <w:rPr>
          <w:rFonts w:ascii="Sylfaen" w:hAnsi="Sylfaen"/>
          <w:sz w:val="21"/>
          <w:szCs w:val="21"/>
        </w:rPr>
        <w:t>necessary actions</w:t>
      </w:r>
      <w:r w:rsidRPr="00D72E4F">
        <w:rPr>
          <w:rFonts w:ascii="Sylfaen" w:hAnsi="Sylfaen"/>
          <w:sz w:val="21"/>
          <w:szCs w:val="21"/>
        </w:rPr>
        <w:t xml:space="preserve"> handed over to military base Commander Ruzinski.</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In response to questions of the legal representatives of Avetisyans</w:t>
      </w:r>
      <w:r>
        <w:rPr>
          <w:rFonts w:ascii="Sylfaen" w:hAnsi="Sylfaen"/>
          <w:sz w:val="21"/>
          <w:szCs w:val="21"/>
        </w:rPr>
        <w:t>’</w:t>
      </w:r>
      <w:r w:rsidRPr="00D72E4F">
        <w:rPr>
          <w:rFonts w:ascii="Sylfaen" w:hAnsi="Sylfaen"/>
          <w:sz w:val="21"/>
          <w:szCs w:val="21"/>
        </w:rPr>
        <w:t xml:space="preserve"> successors, the witness said that it was the institution from where Permyakov deserted rather than he who was under obligation to inform the Armenian law enforcement agencies. </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S. Merzlikin also stated that during the identification procedures, there were Armenian law enforcement officers in his office</w:t>
      </w:r>
      <w:r>
        <w:rPr>
          <w:rFonts w:ascii="Sylfaen" w:hAnsi="Sylfaen"/>
          <w:sz w:val="21"/>
          <w:szCs w:val="21"/>
        </w:rPr>
        <w:t xml:space="preserve">; however, </w:t>
      </w:r>
      <w:r w:rsidRPr="00D72E4F">
        <w:rPr>
          <w:rFonts w:ascii="Sylfaen" w:hAnsi="Sylfaen"/>
          <w:sz w:val="21"/>
          <w:szCs w:val="21"/>
        </w:rPr>
        <w:t>neither the Chief of Police of Shirak</w:t>
      </w:r>
      <w:r>
        <w:rPr>
          <w:rFonts w:ascii="Sylfaen" w:hAnsi="Sylfaen"/>
          <w:sz w:val="21"/>
          <w:szCs w:val="21"/>
        </w:rPr>
        <w:t>,</w:t>
      </w:r>
      <w:r w:rsidRPr="00D72E4F">
        <w:rPr>
          <w:rFonts w:ascii="Sylfaen" w:hAnsi="Sylfaen"/>
          <w:sz w:val="21"/>
          <w:szCs w:val="21"/>
        </w:rPr>
        <w:t xml:space="preserve"> nor that of Gyumri were among them. Then he added that they started the search operations without Armenian law enforcement officers as the dog could not “work” effectively in the presence of many people.</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 xml:space="preserve">As for </w:t>
      </w:r>
      <w:smartTag w:uri="urn:schemas-microsoft-com:office:smarttags" w:element="place">
        <w:r w:rsidRPr="00D72E4F">
          <w:rPr>
            <w:rFonts w:ascii="Sylfaen" w:hAnsi="Sylfaen"/>
            <w:sz w:val="21"/>
            <w:szCs w:val="21"/>
          </w:rPr>
          <w:t>S. Merzlikin</w:t>
        </w:r>
      </w:smartTag>
      <w:r w:rsidRPr="00D72E4F">
        <w:rPr>
          <w:rFonts w:ascii="Sylfaen" w:hAnsi="Sylfaen"/>
          <w:sz w:val="21"/>
          <w:szCs w:val="21"/>
        </w:rPr>
        <w:t>’s statement about having learnt from a TV broadcast that Permyakov was suspected of the murders, the lawyers objected to that statement referring to the testimonies of other witnesses stating that they knew that Permyakov was suspected of murders. S. Merzlikin replied that in the dark he could not be certain that the person arrested was</w:t>
      </w:r>
      <w:r>
        <w:rPr>
          <w:rFonts w:ascii="Sylfaen" w:hAnsi="Sylfaen"/>
          <w:sz w:val="21"/>
          <w:szCs w:val="21"/>
        </w:rPr>
        <w:t xml:space="preserve"> Permyakov</w:t>
      </w:r>
      <w:r w:rsidRPr="00D72E4F">
        <w:rPr>
          <w:rFonts w:ascii="Sylfaen" w:hAnsi="Sylfaen"/>
          <w:sz w:val="21"/>
          <w:szCs w:val="21"/>
        </w:rPr>
        <w:t xml:space="preserve"> and his identity was established only during the identification operations.</w:t>
      </w:r>
    </w:p>
    <w:p w:rsidR="00DE09FE" w:rsidRPr="00D72E4F" w:rsidRDefault="00DE09FE" w:rsidP="00DE09FE">
      <w:pPr>
        <w:jc w:val="both"/>
        <w:rPr>
          <w:rFonts w:ascii="Sylfaen" w:hAnsi="Sylfaen"/>
          <w:sz w:val="21"/>
          <w:szCs w:val="21"/>
        </w:rPr>
      </w:pPr>
    </w:p>
    <w:p w:rsidR="00DE09FE" w:rsidRPr="00D72E4F" w:rsidRDefault="00DE09FE" w:rsidP="00DE09FE">
      <w:pPr>
        <w:jc w:val="both"/>
        <w:rPr>
          <w:rFonts w:ascii="Sylfaen" w:hAnsi="Sylfaen"/>
          <w:sz w:val="21"/>
          <w:szCs w:val="21"/>
        </w:rPr>
      </w:pPr>
      <w:r w:rsidRPr="00D72E4F">
        <w:rPr>
          <w:rFonts w:ascii="Sylfaen" w:hAnsi="Sylfaen"/>
          <w:sz w:val="21"/>
          <w:szCs w:val="21"/>
        </w:rPr>
        <w:t xml:space="preserve">According to the testimony of the witness, in response to his question why he had committed the murders, Permyakov replied that it was not him who had </w:t>
      </w:r>
      <w:r>
        <w:rPr>
          <w:rFonts w:ascii="Sylfaen" w:hAnsi="Sylfaen"/>
          <w:sz w:val="21"/>
          <w:szCs w:val="21"/>
        </w:rPr>
        <w:t>committed them</w:t>
      </w:r>
      <w:r w:rsidRPr="00D72E4F">
        <w:rPr>
          <w:rFonts w:ascii="Sylfaen" w:hAnsi="Sylfaen"/>
          <w:sz w:val="21"/>
          <w:szCs w:val="21"/>
        </w:rPr>
        <w:t xml:space="preserve"> and then continued to answer the questions and mentioned that he had hidden himself not too far away and concealed his weapon; also, he added that a taxi driver brought him some food.</w:t>
      </w:r>
    </w:p>
    <w:p w:rsidR="00DE09FE" w:rsidRPr="00D72E4F" w:rsidRDefault="00DE09FE" w:rsidP="00DE09FE">
      <w:pPr>
        <w:jc w:val="both"/>
        <w:rPr>
          <w:rFonts w:ascii="Sylfaen" w:hAnsi="Sylfaen" w:cs="Tahoma"/>
          <w:color w:val="000000"/>
          <w:sz w:val="21"/>
          <w:szCs w:val="21"/>
        </w:rPr>
      </w:pPr>
    </w:p>
    <w:p w:rsidR="00DE09FE" w:rsidRPr="00D72E4F" w:rsidRDefault="00DE09FE" w:rsidP="00DE09FE">
      <w:pPr>
        <w:jc w:val="both"/>
        <w:rPr>
          <w:rFonts w:ascii="Sylfaen" w:hAnsi="Sylfaen" w:cs="Tahoma"/>
          <w:color w:val="000000"/>
          <w:sz w:val="21"/>
          <w:szCs w:val="21"/>
        </w:rPr>
      </w:pPr>
      <w:r w:rsidRPr="00D72E4F">
        <w:rPr>
          <w:rFonts w:ascii="Sylfaen" w:hAnsi="Sylfaen" w:cs="Tahoma"/>
          <w:color w:val="000000"/>
          <w:sz w:val="21"/>
          <w:szCs w:val="21"/>
        </w:rPr>
        <w:t xml:space="preserve">According to the testimonies of </w:t>
      </w:r>
      <w:r w:rsidRPr="00D72E4F">
        <w:rPr>
          <w:rFonts w:ascii="Sylfaen" w:hAnsi="Sylfaen"/>
          <w:sz w:val="21"/>
          <w:szCs w:val="21"/>
        </w:rPr>
        <w:t>Alexander Kruglov,</w:t>
      </w:r>
      <w:r w:rsidRPr="00D72E4F">
        <w:rPr>
          <w:rFonts w:ascii="Sylfaen" w:hAnsi="Sylfaen" w:cs="Tahoma"/>
          <w:color w:val="000000"/>
          <w:sz w:val="21"/>
          <w:szCs w:val="21"/>
        </w:rPr>
        <w:t xml:space="preserve"> </w:t>
      </w:r>
      <w:r w:rsidRPr="00D72E4F">
        <w:rPr>
          <w:rFonts w:ascii="Sylfaen" w:hAnsi="Sylfaen"/>
          <w:sz w:val="21"/>
          <w:szCs w:val="21"/>
        </w:rPr>
        <w:t xml:space="preserve">Deputy Head of Gyumri Border Troops Detachment of Russian FSS in </w:t>
      </w:r>
      <w:smartTag w:uri="urn:schemas-microsoft-com:office:smarttags" w:element="place">
        <w:r w:rsidRPr="00D72E4F">
          <w:rPr>
            <w:rFonts w:ascii="Sylfaen" w:hAnsi="Sylfaen"/>
            <w:sz w:val="21"/>
            <w:szCs w:val="21"/>
          </w:rPr>
          <w:t>Armenia</w:t>
        </w:r>
      </w:smartTag>
      <w:r w:rsidRPr="00D72E4F">
        <w:rPr>
          <w:rFonts w:ascii="Sylfaen" w:hAnsi="Sylfaen"/>
          <w:sz w:val="21"/>
          <w:szCs w:val="21"/>
        </w:rPr>
        <w:t xml:space="preserve">, </w:t>
      </w:r>
      <w:r w:rsidRPr="00D72E4F">
        <w:rPr>
          <w:rFonts w:ascii="Sylfaen" w:hAnsi="Sylfaen" w:cs="Tahoma"/>
          <w:color w:val="000000"/>
          <w:sz w:val="21"/>
          <w:szCs w:val="21"/>
        </w:rPr>
        <w:t xml:space="preserve">on January 13, at 12:15 am, he was informed by phone that the runaway serviceman was arrested near Bayandur outpost. He turned to S. Merzlikin for more detailed information and then </w:t>
      </w:r>
      <w:r>
        <w:rPr>
          <w:rFonts w:ascii="Sylfaen" w:hAnsi="Sylfaen" w:cs="Tahoma"/>
          <w:color w:val="000000"/>
          <w:sz w:val="21"/>
          <w:szCs w:val="21"/>
        </w:rPr>
        <w:t xml:space="preserve">by </w:t>
      </w:r>
      <w:r w:rsidRPr="00D72E4F">
        <w:rPr>
          <w:rFonts w:ascii="Sylfaen" w:hAnsi="Sylfaen" w:cs="Tahoma"/>
          <w:color w:val="000000"/>
          <w:sz w:val="21"/>
          <w:szCs w:val="21"/>
        </w:rPr>
        <w:t>his order visited the area of detention.</w:t>
      </w:r>
    </w:p>
    <w:p w:rsidR="00DE09FE" w:rsidRPr="00D72E4F" w:rsidRDefault="00DE09FE" w:rsidP="00DE09FE">
      <w:pPr>
        <w:jc w:val="both"/>
        <w:rPr>
          <w:rFonts w:ascii="Sylfaen" w:hAnsi="Sylfaen"/>
          <w:sz w:val="21"/>
          <w:szCs w:val="21"/>
        </w:rPr>
      </w:pPr>
      <w:r w:rsidRPr="00D72E4F">
        <w:rPr>
          <w:rFonts w:ascii="Sylfaen" w:hAnsi="Sylfaen"/>
          <w:sz w:val="21"/>
          <w:szCs w:val="21"/>
        </w:rPr>
        <w:t xml:space="preserve">A similar testimony was provided by senior officer of the detachment Igor Braga stating that </w:t>
      </w:r>
      <w:r>
        <w:rPr>
          <w:rFonts w:ascii="Sylfaen" w:hAnsi="Sylfaen"/>
          <w:sz w:val="21"/>
          <w:szCs w:val="21"/>
        </w:rPr>
        <w:t>he</w:t>
      </w:r>
      <w:r w:rsidRPr="00D72E4F">
        <w:rPr>
          <w:rFonts w:ascii="Sylfaen" w:hAnsi="Sylfaen"/>
          <w:sz w:val="21"/>
          <w:szCs w:val="21"/>
        </w:rPr>
        <w:t xml:space="preserve"> learnt of </w:t>
      </w:r>
      <w:r w:rsidRPr="00D72E4F">
        <w:rPr>
          <w:rFonts w:ascii="Sylfaen" w:hAnsi="Sylfaen"/>
          <w:sz w:val="21"/>
          <w:szCs w:val="21"/>
        </w:rPr>
        <w:lastRenderedPageBreak/>
        <w:t>Permyakov’s desertion on January 12, 2015, at 9 am and of his being suspected of murders – at about 1 pm from the press.</w:t>
      </w:r>
    </w:p>
    <w:p w:rsidR="00DE09FE" w:rsidRPr="00D72E4F" w:rsidRDefault="00DE09FE" w:rsidP="00DE09FE">
      <w:pPr>
        <w:jc w:val="both"/>
        <w:rPr>
          <w:rFonts w:ascii="Sylfaen" w:hAnsi="Sylfaen"/>
          <w:sz w:val="21"/>
          <w:szCs w:val="21"/>
        </w:rPr>
      </w:pPr>
    </w:p>
    <w:p w:rsidR="00DE09FE" w:rsidRPr="00DE09FE" w:rsidRDefault="00DE09FE" w:rsidP="00DE09FE">
      <w:pPr>
        <w:jc w:val="both"/>
        <w:rPr>
          <w:rFonts w:ascii="Sylfaen" w:hAnsi="Sylfaen"/>
          <w:sz w:val="21"/>
          <w:szCs w:val="21"/>
        </w:rPr>
      </w:pPr>
      <w:r w:rsidRPr="00D72E4F">
        <w:rPr>
          <w:rFonts w:ascii="Sylfaen" w:hAnsi="Sylfaen"/>
          <w:sz w:val="21"/>
          <w:szCs w:val="21"/>
        </w:rPr>
        <w:t>The next outgoing hearing of the General Jurisdiction Court of Shirak Marz (Region) is scheduled for March 4, 2016, at 12 pm.</w:t>
      </w:r>
    </w:p>
    <w:p w:rsidR="00863C49" w:rsidRPr="00646039" w:rsidRDefault="00863C49" w:rsidP="00DE09FE"/>
    <w:sectPr w:rsidR="00863C49" w:rsidRPr="00646039" w:rsidSect="00FD0F7C">
      <w:headerReference w:type="default" r:id="rId8"/>
      <w:footerReference w:type="even" r:id="rId9"/>
      <w:footerReference w:type="default" r:id="rId10"/>
      <w:pgSz w:w="11906" w:h="16838" w:code="9"/>
      <w:pgMar w:top="630" w:right="656" w:bottom="1170" w:left="108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90" w:rsidRDefault="00A24290">
      <w:r>
        <w:separator/>
      </w:r>
    </w:p>
  </w:endnote>
  <w:endnote w:type="continuationSeparator" w:id="1">
    <w:p w:rsidR="00A24290" w:rsidRDefault="00A242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2A" w:rsidRDefault="006053FA" w:rsidP="00F805AC">
    <w:pPr>
      <w:pStyle w:val="Footer"/>
      <w:framePr w:wrap="around" w:vAnchor="text" w:hAnchor="margin" w:xAlign="center" w:y="1"/>
      <w:rPr>
        <w:rStyle w:val="PageNumber"/>
      </w:rPr>
    </w:pPr>
    <w:r>
      <w:rPr>
        <w:rStyle w:val="PageNumber"/>
      </w:rPr>
      <w:fldChar w:fldCharType="begin"/>
    </w:r>
    <w:r w:rsidR="0044732A">
      <w:rPr>
        <w:rStyle w:val="PageNumber"/>
      </w:rPr>
      <w:instrText xml:space="preserve">PAGE  </w:instrText>
    </w:r>
    <w:r>
      <w:rPr>
        <w:rStyle w:val="PageNumber"/>
      </w:rPr>
      <w:fldChar w:fldCharType="end"/>
    </w:r>
  </w:p>
  <w:p w:rsidR="0044732A" w:rsidRDefault="00447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2A" w:rsidRPr="002D2062" w:rsidRDefault="0044732A" w:rsidP="00F805AC">
    <w:pPr>
      <w:pStyle w:val="Footer"/>
      <w:framePr w:wrap="around" w:vAnchor="text" w:hAnchor="margin" w:xAlign="center" w:y="1"/>
      <w:jc w:val="center"/>
      <w:rPr>
        <w:rStyle w:val="PageNumber"/>
        <w:sz w:val="18"/>
        <w:szCs w:val="18"/>
      </w:rPr>
    </w:pPr>
  </w:p>
  <w:p w:rsidR="0044732A" w:rsidRDefault="0044732A" w:rsidP="00F805AC">
    <w:pPr>
      <w:pStyle w:val="Footer"/>
      <w:framePr w:wrap="around" w:vAnchor="text" w:hAnchor="margin" w:xAlign="center" w:y="1"/>
      <w:rPr>
        <w:rStyle w:val="PageNumber"/>
      </w:rPr>
    </w:pPr>
    <w:r>
      <w:rPr>
        <w:rStyle w:val="PageNumber"/>
      </w:rPr>
      <w:t>__________________________________________________________________________</w:t>
    </w:r>
  </w:p>
  <w:p w:rsidR="0044732A" w:rsidRPr="009A5497" w:rsidRDefault="0044732A" w:rsidP="009A5497">
    <w:pPr>
      <w:framePr w:wrap="around" w:vAnchor="text" w:hAnchor="margin" w:xAlign="center" w:y="1"/>
      <w:spacing w:line="360" w:lineRule="auto"/>
      <w:jc w:val="center"/>
      <w:rPr>
        <w:sz w:val="14"/>
        <w:szCs w:val="14"/>
      </w:rPr>
    </w:pPr>
    <w:r w:rsidRPr="009A5497">
      <w:rPr>
        <w:sz w:val="14"/>
        <w:szCs w:val="14"/>
        <w:lang w:val="en-US"/>
      </w:rPr>
      <w:t xml:space="preserve">59 Tigran Mets  </w:t>
    </w:r>
    <w:r>
      <w:rPr>
        <w:sz w:val="14"/>
        <w:szCs w:val="14"/>
        <w:lang w:val="en-US"/>
      </w:rPr>
      <w:t>S</w:t>
    </w:r>
    <w:r w:rsidRPr="009A5497">
      <w:rPr>
        <w:sz w:val="14"/>
        <w:szCs w:val="14"/>
        <w:lang w:val="en-US"/>
      </w:rPr>
      <w:t xml:space="preserve">t., Vanadzor, </w:t>
    </w:r>
    <w:r>
      <w:rPr>
        <w:sz w:val="14"/>
        <w:szCs w:val="14"/>
        <w:lang w:val="en-US"/>
      </w:rPr>
      <w:t>2001</w:t>
    </w:r>
    <w:r w:rsidRPr="009A5497">
      <w:rPr>
        <w:sz w:val="14"/>
        <w:szCs w:val="14"/>
        <w:lang w:val="en-US"/>
      </w:rPr>
      <w:t xml:space="preserve">, Republic of Armenia, Tel. (+374 322) 4 22 68; E-mail:  </w:t>
    </w:r>
    <w:hyperlink r:id="rId1" w:history="1">
      <w:r w:rsidRPr="009A5497">
        <w:rPr>
          <w:rStyle w:val="Hyperlink"/>
          <w:sz w:val="14"/>
          <w:szCs w:val="14"/>
        </w:rPr>
        <w:t>hcav@hcav.am</w:t>
      </w:r>
    </w:hyperlink>
  </w:p>
  <w:p w:rsidR="0044732A" w:rsidRPr="009A5497" w:rsidRDefault="0044732A" w:rsidP="009A5497">
    <w:pPr>
      <w:framePr w:wrap="around" w:vAnchor="text" w:hAnchor="margin" w:xAlign="center" w:y="1"/>
      <w:spacing w:line="360" w:lineRule="auto"/>
      <w:jc w:val="center"/>
      <w:rPr>
        <w:sz w:val="14"/>
        <w:szCs w:val="14"/>
      </w:rPr>
    </w:pPr>
    <w:r w:rsidRPr="006251B7">
      <w:rPr>
        <w:rStyle w:val="PageNumber"/>
        <w:rFonts w:ascii="Sylfaen" w:hAnsi="Sylfaen" w:cs="Sylfaen"/>
        <w:sz w:val="14"/>
        <w:szCs w:val="14"/>
      </w:rPr>
      <w:t>Տի</w:t>
    </w:r>
    <w:r>
      <w:rPr>
        <w:rStyle w:val="PageNumber"/>
        <w:rFonts w:ascii="Sylfaen" w:hAnsi="Sylfaen" w:cs="Arial Armenian"/>
        <w:sz w:val="14"/>
        <w:szCs w:val="14"/>
      </w:rPr>
      <w:t>գ</w:t>
    </w:r>
    <w:r w:rsidRPr="006251B7">
      <w:rPr>
        <w:rStyle w:val="PageNumber"/>
        <w:rFonts w:ascii="Sylfaen" w:hAnsi="Sylfaen" w:cs="Sylfaen"/>
        <w:sz w:val="14"/>
        <w:szCs w:val="14"/>
      </w:rPr>
      <w:t>րան</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Մեծի</w:t>
    </w:r>
    <w:r w:rsidRPr="006251B7">
      <w:rPr>
        <w:rStyle w:val="PageNumber"/>
        <w:rFonts w:ascii="Arial Armenian" w:hAnsi="Arial Armenian" w:cs="Arial Armenian"/>
        <w:sz w:val="14"/>
        <w:szCs w:val="14"/>
      </w:rPr>
      <w:t xml:space="preserve"> 59, </w:t>
    </w:r>
    <w:r w:rsidRPr="006251B7">
      <w:rPr>
        <w:rStyle w:val="PageNumber"/>
        <w:rFonts w:ascii="Sylfaen" w:hAnsi="Sylfaen" w:cs="Sylfaen"/>
        <w:sz w:val="14"/>
        <w:szCs w:val="14"/>
      </w:rPr>
      <w:t>Վանաձոր</w:t>
    </w:r>
    <w:r w:rsidRPr="006251B7">
      <w:rPr>
        <w:rStyle w:val="PageNumber"/>
        <w:rFonts w:ascii="Arial Armenian" w:hAnsi="Arial Armenian" w:cs="Arial Armenian"/>
        <w:sz w:val="14"/>
        <w:szCs w:val="14"/>
      </w:rPr>
      <w:t xml:space="preserve">, </w:t>
    </w:r>
    <w:r>
      <w:rPr>
        <w:rStyle w:val="PageNumber"/>
        <w:rFonts w:ascii="Arial Armenian" w:hAnsi="Arial Armenian" w:cs="Arial Armenian"/>
        <w:sz w:val="14"/>
        <w:szCs w:val="14"/>
      </w:rPr>
      <w:t>2001</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Հայաստանի</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Հանրապետություն</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հեռ</w:t>
    </w:r>
    <w:r w:rsidRPr="006251B7">
      <w:rPr>
        <w:rStyle w:val="PageNumber"/>
        <w:rFonts w:ascii="Arial Armenian" w:hAnsi="Arial Armenian" w:cs="Arial Armenian"/>
        <w:sz w:val="14"/>
        <w:szCs w:val="14"/>
      </w:rPr>
      <w:t xml:space="preserve">. (+374 322) 4 22 68; </w:t>
    </w:r>
    <w:r w:rsidRPr="006251B7">
      <w:rPr>
        <w:rStyle w:val="PageNumber"/>
        <w:rFonts w:ascii="Sylfaen" w:hAnsi="Sylfaen" w:cs="Sylfaen"/>
        <w:sz w:val="14"/>
        <w:szCs w:val="14"/>
      </w:rPr>
      <w:t>էլ</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փոստ</w:t>
    </w:r>
    <w:r w:rsidRPr="006251B7">
      <w:rPr>
        <w:rStyle w:val="PageNumber"/>
        <w:rFonts w:ascii="Arial Armenian" w:hAnsi="Arial Armenian" w:cs="Arial Armenian"/>
        <w:sz w:val="14"/>
        <w:szCs w:val="14"/>
      </w:rPr>
      <w:t xml:space="preserve">ª </w:t>
    </w:r>
    <w:hyperlink r:id="rId2" w:history="1">
      <w:r w:rsidRPr="009A5497">
        <w:rPr>
          <w:rStyle w:val="Hyperlink"/>
          <w:sz w:val="14"/>
          <w:szCs w:val="14"/>
        </w:rPr>
        <w:t>hcav@hcav.am</w:t>
      </w:r>
    </w:hyperlink>
  </w:p>
  <w:p w:rsidR="0044732A" w:rsidRPr="00DF71D0" w:rsidRDefault="0044732A" w:rsidP="009A5497">
    <w:pPr>
      <w:pStyle w:val="Footer"/>
      <w:framePr w:wrap="around" w:vAnchor="text" w:hAnchor="margin" w:xAlign="center" w:y="1"/>
      <w:spacing w:line="360" w:lineRule="auto"/>
      <w:rPr>
        <w:rStyle w:val="PageNumber"/>
        <w:rFonts w:ascii="Arial Armenian" w:hAnsi="Arial Armenian" w:cs="Arial"/>
        <w:b/>
        <w:i/>
        <w:sz w:val="14"/>
        <w:szCs w:val="14"/>
      </w:rPr>
    </w:pPr>
  </w:p>
  <w:p w:rsidR="0044732A" w:rsidRDefault="0044732A" w:rsidP="00F805AC">
    <w:pPr>
      <w:pStyle w:val="Footer"/>
      <w:framePr w:wrap="around" w:vAnchor="text" w:hAnchor="page" w:x="1261" w:y="-361"/>
      <w:rPr>
        <w:rStyle w:val="PageNumber"/>
      </w:rPr>
    </w:pPr>
  </w:p>
  <w:p w:rsidR="0044732A" w:rsidRDefault="0044732A" w:rsidP="00F80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90" w:rsidRDefault="00A24290">
      <w:r>
        <w:separator/>
      </w:r>
    </w:p>
  </w:footnote>
  <w:footnote w:type="continuationSeparator" w:id="1">
    <w:p w:rsidR="00A24290" w:rsidRDefault="00A24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2A" w:rsidRDefault="00AB10A6" w:rsidP="00F15383">
    <w:pPr>
      <w:pStyle w:val="BodyText2"/>
      <w:jc w:val="center"/>
    </w:pPr>
    <w:r>
      <w:rPr>
        <w:noProof/>
        <w:lang w:val="en-US"/>
      </w:rPr>
      <w:drawing>
        <wp:anchor distT="0" distB="0" distL="114300" distR="114300" simplePos="0" relativeHeight="251657728" behindDoc="0" locked="0" layoutInCell="1" allowOverlap="1">
          <wp:simplePos x="0" y="0"/>
          <wp:positionH relativeFrom="column">
            <wp:posOffset>229870</wp:posOffset>
          </wp:positionH>
          <wp:positionV relativeFrom="paragraph">
            <wp:posOffset>68580</wp:posOffset>
          </wp:positionV>
          <wp:extent cx="459740" cy="459740"/>
          <wp:effectExtent l="19050" t="0" r="0" b="0"/>
          <wp:wrapNone/>
          <wp:docPr id="5" name="Picture 5" descr="H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A"/>
                  <pic:cNvPicPr>
                    <a:picLocks noChangeAspect="1" noChangeArrowheads="1"/>
                  </pic:cNvPicPr>
                </pic:nvPicPr>
                <pic:blipFill>
                  <a:blip r:embed="rId1"/>
                  <a:srcRect/>
                  <a:stretch>
                    <a:fillRect/>
                  </a:stretch>
                </pic:blipFill>
                <pic:spPr bwMode="auto">
                  <a:xfrm>
                    <a:off x="0" y="0"/>
                    <a:ext cx="459740" cy="459740"/>
                  </a:xfrm>
                  <a:prstGeom prst="rect">
                    <a:avLst/>
                  </a:prstGeom>
                  <a:noFill/>
                  <a:ln w="9525">
                    <a:noFill/>
                    <a:miter lim="800000"/>
                    <a:headEnd/>
                    <a:tailEnd/>
                  </a:ln>
                </pic:spPr>
              </pic:pic>
            </a:graphicData>
          </a:graphic>
        </wp:anchor>
      </w:drawing>
    </w:r>
  </w:p>
  <w:p w:rsidR="00AB10A6" w:rsidRDefault="00AB10A6" w:rsidP="00B13DF3">
    <w:pPr>
      <w:pStyle w:val="BodyText2"/>
      <w:jc w:val="right"/>
      <w:rPr>
        <w:rFonts w:ascii="Arial" w:hAnsi="Arial" w:cs="Arial"/>
        <w:b w:val="0"/>
        <w:color w:val="000080"/>
        <w:sz w:val="22"/>
        <w:szCs w:val="22"/>
      </w:rPr>
    </w:pPr>
    <w:r w:rsidRPr="006251B7">
      <w:rPr>
        <w:rFonts w:ascii="Sylfaen" w:hAnsi="Sylfaen" w:cs="Sylfaen"/>
        <w:color w:val="000080"/>
        <w:szCs w:val="22"/>
      </w:rPr>
      <w:t>ՀԵԼՍԻՆԿՅԱՆ</w:t>
    </w:r>
    <w:r w:rsidRPr="006251B7">
      <w:rPr>
        <w:rFonts w:ascii="Arial Armenian" w:hAnsi="Arial Armenian" w:cs="Arial Armenian"/>
        <w:color w:val="000080"/>
        <w:szCs w:val="22"/>
      </w:rPr>
      <w:t xml:space="preserve"> </w:t>
    </w:r>
    <w:r w:rsidRPr="006251B7">
      <w:rPr>
        <w:rFonts w:ascii="Sylfaen" w:hAnsi="Sylfaen" w:cs="Sylfaen"/>
        <w:color w:val="000080"/>
        <w:szCs w:val="22"/>
      </w:rPr>
      <w:t>ՔԱՂԱՔԱՑԻԱԿԱՆ</w:t>
    </w:r>
    <w:r w:rsidRPr="006251B7">
      <w:rPr>
        <w:rFonts w:ascii="Arial Armenian" w:hAnsi="Arial Armenian" w:cs="Arial Armenian"/>
        <w:color w:val="000080"/>
        <w:szCs w:val="22"/>
      </w:rPr>
      <w:t xml:space="preserve"> </w:t>
    </w:r>
    <w:r w:rsidRPr="006251B7">
      <w:rPr>
        <w:rFonts w:ascii="Sylfaen" w:hAnsi="Sylfaen" w:cs="Sylfaen"/>
        <w:color w:val="000080"/>
        <w:szCs w:val="22"/>
      </w:rPr>
      <w:t>ԱՍԱՄԲԼԵԱՅԻ</w:t>
    </w:r>
    <w:r w:rsidRPr="006251B7">
      <w:rPr>
        <w:rFonts w:ascii="Arial Armenian" w:hAnsi="Arial Armenian" w:cs="Arial Armenian"/>
        <w:color w:val="000080"/>
        <w:szCs w:val="22"/>
      </w:rPr>
      <w:t xml:space="preserve"> </w:t>
    </w:r>
    <w:r w:rsidRPr="006251B7">
      <w:rPr>
        <w:rFonts w:ascii="Sylfaen" w:hAnsi="Sylfaen" w:cs="Sylfaen"/>
        <w:color w:val="000080"/>
        <w:szCs w:val="22"/>
      </w:rPr>
      <w:t>ՎԱՆԱՁՈՐԻ</w:t>
    </w:r>
    <w:r w:rsidRPr="006251B7">
      <w:rPr>
        <w:rFonts w:ascii="Arial Armenian" w:hAnsi="Arial Armenian" w:cs="Arial Armenian"/>
        <w:color w:val="000080"/>
        <w:szCs w:val="22"/>
      </w:rPr>
      <w:t xml:space="preserve"> </w:t>
    </w:r>
    <w:r w:rsidRPr="006251B7">
      <w:rPr>
        <w:rFonts w:ascii="Sylfaen" w:hAnsi="Sylfaen" w:cs="Sylfaen"/>
        <w:color w:val="000080"/>
        <w:szCs w:val="22"/>
      </w:rPr>
      <w:t>ԳՐԱՍԵՆՅԱԿ</w:t>
    </w:r>
    <w:r w:rsidRPr="00DF71D0">
      <w:rPr>
        <w:rFonts w:ascii="Arial" w:hAnsi="Arial" w:cs="Arial"/>
        <w:b w:val="0"/>
        <w:color w:val="000080"/>
        <w:sz w:val="22"/>
        <w:szCs w:val="22"/>
      </w:rPr>
      <w:t xml:space="preserve"> </w:t>
    </w:r>
  </w:p>
  <w:p w:rsidR="0044732A" w:rsidRPr="00DF71D0" w:rsidRDefault="0044732A" w:rsidP="00B13DF3">
    <w:pPr>
      <w:pStyle w:val="BodyText2"/>
      <w:jc w:val="right"/>
      <w:rPr>
        <w:rFonts w:ascii="Arial" w:hAnsi="Arial" w:cs="Arial"/>
        <w:b w:val="0"/>
        <w:color w:val="000080"/>
        <w:sz w:val="22"/>
        <w:szCs w:val="22"/>
      </w:rPr>
    </w:pPr>
    <w:r w:rsidRPr="00DF71D0">
      <w:rPr>
        <w:rFonts w:ascii="Arial" w:hAnsi="Arial" w:cs="Arial"/>
        <w:b w:val="0"/>
        <w:color w:val="000080"/>
        <w:sz w:val="22"/>
        <w:szCs w:val="22"/>
      </w:rPr>
      <w:t>HELSINKI CITIZENS` ASSEMBLY VANADZOR OFFICE</w:t>
    </w:r>
  </w:p>
  <w:p w:rsidR="0044732A" w:rsidRPr="006251B7" w:rsidRDefault="0044732A" w:rsidP="00B13DF3">
    <w:pPr>
      <w:pStyle w:val="BodyText2"/>
      <w:jc w:val="right"/>
      <w:rPr>
        <w:rFonts w:ascii="Arial Armenian" w:hAnsi="Arial Armenian" w:cs="Arial"/>
        <w:color w:val="000080"/>
        <w:sz w:val="22"/>
        <w:szCs w:val="22"/>
      </w:rPr>
    </w:pPr>
  </w:p>
  <w:p w:rsidR="0044732A" w:rsidRPr="00EE321A" w:rsidRDefault="0044732A" w:rsidP="00F15383">
    <w:pPr>
      <w:pStyle w:val="BodyText2"/>
      <w:jc w:val="center"/>
      <w:rPr>
        <w:sz w:val="24"/>
        <w:szCs w:val="24"/>
      </w:rPr>
    </w:pPr>
    <w:r w:rsidRPr="00EE321A">
      <w:rPr>
        <w:sz w:val="24"/>
        <w:szCs w:val="24"/>
      </w:rPr>
      <w:t>______________________________________________________________________</w:t>
    </w:r>
  </w:p>
  <w:p w:rsidR="0044732A" w:rsidRPr="00F15383" w:rsidRDefault="0044732A" w:rsidP="00F805AC">
    <w:pPr>
      <w:pStyle w:val="Header"/>
      <w:jc w:val="cente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Open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E"/>
    <w:multiLevelType w:val="multilevel"/>
    <w:tmpl w:val="0000000E"/>
    <w:name w:val="WW8Num14"/>
    <w:lvl w:ilvl="0">
      <w:start w:val="1"/>
      <w:numFmt w:val="bullet"/>
      <w:lvlText w:val=""/>
      <w:lvlJc w:val="left"/>
      <w:pPr>
        <w:tabs>
          <w:tab w:val="num" w:pos="1410"/>
        </w:tabs>
        <w:ind w:left="1410" w:hanging="360"/>
      </w:pPr>
      <w:rPr>
        <w:rFonts w:ascii="Wingdings" w:hAnsi="Wingdings" w:cs="OpenSymbol"/>
      </w:rPr>
    </w:lvl>
    <w:lvl w:ilvl="1">
      <w:start w:val="1"/>
      <w:numFmt w:val="bullet"/>
      <w:lvlText w:val="◦"/>
      <w:lvlJc w:val="left"/>
      <w:pPr>
        <w:tabs>
          <w:tab w:val="num" w:pos="1770"/>
        </w:tabs>
        <w:ind w:left="1770" w:hanging="360"/>
      </w:pPr>
      <w:rPr>
        <w:rFonts w:ascii="OpenSymbol" w:hAnsi="OpenSymbol" w:cs="OpenSymbol"/>
      </w:rPr>
    </w:lvl>
    <w:lvl w:ilvl="2">
      <w:start w:val="1"/>
      <w:numFmt w:val="bullet"/>
      <w:lvlText w:val="▪"/>
      <w:lvlJc w:val="left"/>
      <w:pPr>
        <w:tabs>
          <w:tab w:val="num" w:pos="2130"/>
        </w:tabs>
        <w:ind w:left="2130" w:hanging="360"/>
      </w:pPr>
      <w:rPr>
        <w:rFonts w:ascii="OpenSymbol" w:hAnsi="OpenSymbol" w:cs="OpenSymbol"/>
      </w:rPr>
    </w:lvl>
    <w:lvl w:ilvl="3">
      <w:start w:val="1"/>
      <w:numFmt w:val="bullet"/>
      <w:lvlText w:val=""/>
      <w:lvlJc w:val="left"/>
      <w:pPr>
        <w:tabs>
          <w:tab w:val="num" w:pos="2490"/>
        </w:tabs>
        <w:ind w:left="2490" w:hanging="360"/>
      </w:pPr>
      <w:rPr>
        <w:rFonts w:ascii="Symbol" w:hAnsi="Symbol" w:cs="OpenSymbol"/>
      </w:rPr>
    </w:lvl>
    <w:lvl w:ilvl="4">
      <w:start w:val="1"/>
      <w:numFmt w:val="bullet"/>
      <w:lvlText w:val="◦"/>
      <w:lvlJc w:val="left"/>
      <w:pPr>
        <w:tabs>
          <w:tab w:val="num" w:pos="2850"/>
        </w:tabs>
        <w:ind w:left="2850" w:hanging="360"/>
      </w:pPr>
      <w:rPr>
        <w:rFonts w:ascii="OpenSymbol" w:hAnsi="OpenSymbol" w:cs="OpenSymbol"/>
      </w:rPr>
    </w:lvl>
    <w:lvl w:ilvl="5">
      <w:start w:val="1"/>
      <w:numFmt w:val="bullet"/>
      <w:lvlText w:val="▪"/>
      <w:lvlJc w:val="left"/>
      <w:pPr>
        <w:tabs>
          <w:tab w:val="num" w:pos="3210"/>
        </w:tabs>
        <w:ind w:left="3210" w:hanging="360"/>
      </w:pPr>
      <w:rPr>
        <w:rFonts w:ascii="OpenSymbol" w:hAnsi="OpenSymbol" w:cs="OpenSymbol"/>
      </w:rPr>
    </w:lvl>
    <w:lvl w:ilvl="6">
      <w:start w:val="1"/>
      <w:numFmt w:val="bullet"/>
      <w:lvlText w:val=""/>
      <w:lvlJc w:val="left"/>
      <w:pPr>
        <w:tabs>
          <w:tab w:val="num" w:pos="3570"/>
        </w:tabs>
        <w:ind w:left="3570" w:hanging="360"/>
      </w:pPr>
      <w:rPr>
        <w:rFonts w:ascii="Symbol" w:hAnsi="Symbol" w:cs="OpenSymbol"/>
      </w:rPr>
    </w:lvl>
    <w:lvl w:ilvl="7">
      <w:start w:val="1"/>
      <w:numFmt w:val="bullet"/>
      <w:lvlText w:val="◦"/>
      <w:lvlJc w:val="left"/>
      <w:pPr>
        <w:tabs>
          <w:tab w:val="num" w:pos="3930"/>
        </w:tabs>
        <w:ind w:left="3930" w:hanging="360"/>
      </w:pPr>
      <w:rPr>
        <w:rFonts w:ascii="OpenSymbol" w:hAnsi="OpenSymbol" w:cs="OpenSymbol"/>
      </w:rPr>
    </w:lvl>
    <w:lvl w:ilvl="8">
      <w:start w:val="1"/>
      <w:numFmt w:val="bullet"/>
      <w:lvlText w:val="▪"/>
      <w:lvlJc w:val="left"/>
      <w:pPr>
        <w:tabs>
          <w:tab w:val="num" w:pos="4290"/>
        </w:tabs>
        <w:ind w:left="429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B60C9"/>
    <w:multiLevelType w:val="hybridMultilevel"/>
    <w:tmpl w:val="4E34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A3491"/>
    <w:multiLevelType w:val="hybridMultilevel"/>
    <w:tmpl w:val="27006DB2"/>
    <w:lvl w:ilvl="0" w:tplc="7C041EB4">
      <w:start w:val="1"/>
      <w:numFmt w:val="decimal"/>
      <w:lvlText w:val="%1."/>
      <w:lvlJc w:val="left"/>
      <w:pPr>
        <w:ind w:left="720" w:hanging="360"/>
      </w:pPr>
      <w:rPr>
        <w:rFonts w:cs="Sylfae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C1188"/>
    <w:multiLevelType w:val="hybridMultilevel"/>
    <w:tmpl w:val="B678BF1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295741"/>
    <w:multiLevelType w:val="hybridMultilevel"/>
    <w:tmpl w:val="85F68DF2"/>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DEE56D8">
      <w:start w:val="1"/>
      <w:numFmt w:val="bullet"/>
      <w:lvlText w:val="-"/>
      <w:lvlJc w:val="left"/>
      <w:pPr>
        <w:tabs>
          <w:tab w:val="num" w:pos="2340"/>
        </w:tabs>
        <w:ind w:left="2340" w:hanging="360"/>
      </w:pPr>
      <w:rPr>
        <w:rFonts w:ascii="Arial Armenian" w:eastAsia="Times New Roman" w:hAnsi="Arial Armenian"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3FFAABCA">
      <w:numFmt w:val="decimalFullWidth"/>
      <w:lvlText w:val="(%5)"/>
      <w:lvlJc w:val="left"/>
      <w:pPr>
        <w:tabs>
          <w:tab w:val="num" w:pos="3645"/>
        </w:tabs>
        <w:ind w:left="3645" w:hanging="40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E7501"/>
    <w:multiLevelType w:val="hybridMultilevel"/>
    <w:tmpl w:val="F3709764"/>
    <w:lvl w:ilvl="0" w:tplc="8E72171E">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50BFC"/>
    <w:multiLevelType w:val="hybridMultilevel"/>
    <w:tmpl w:val="C9CE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724AB"/>
    <w:multiLevelType w:val="hybridMultilevel"/>
    <w:tmpl w:val="9F9A65E0"/>
    <w:lvl w:ilvl="0" w:tplc="66AEBFFE">
      <w:start w:val="4"/>
      <w:numFmt w:val="bullet"/>
      <w:lvlText w:val="-"/>
      <w:lvlJc w:val="left"/>
      <w:pPr>
        <w:ind w:left="360" w:hanging="360"/>
      </w:pPr>
      <w:rPr>
        <w:rFonts w:ascii="Sylfaen" w:eastAsia="Times New Roman" w:hAnsi="Sylfaen" w:cs="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98548E"/>
    <w:multiLevelType w:val="hybridMultilevel"/>
    <w:tmpl w:val="0FCA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36DD3"/>
    <w:multiLevelType w:val="hybridMultilevel"/>
    <w:tmpl w:val="5D9CA3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A50E66"/>
    <w:multiLevelType w:val="hybridMultilevel"/>
    <w:tmpl w:val="A306B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992528"/>
    <w:multiLevelType w:val="hybridMultilevel"/>
    <w:tmpl w:val="236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323337"/>
    <w:multiLevelType w:val="hybridMultilevel"/>
    <w:tmpl w:val="236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E21C1"/>
    <w:multiLevelType w:val="hybridMultilevel"/>
    <w:tmpl w:val="C144D2A4"/>
    <w:lvl w:ilvl="0" w:tplc="C4B29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214B49"/>
    <w:multiLevelType w:val="hybridMultilevel"/>
    <w:tmpl w:val="30187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304925"/>
    <w:multiLevelType w:val="hybridMultilevel"/>
    <w:tmpl w:val="27006DB2"/>
    <w:lvl w:ilvl="0" w:tplc="7C041EB4">
      <w:start w:val="1"/>
      <w:numFmt w:val="decimal"/>
      <w:lvlText w:val="%1."/>
      <w:lvlJc w:val="left"/>
      <w:pPr>
        <w:ind w:left="720" w:hanging="360"/>
      </w:pPr>
      <w:rPr>
        <w:rFonts w:cs="Sylfae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0283C"/>
    <w:multiLevelType w:val="hybridMultilevel"/>
    <w:tmpl w:val="506C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907F9"/>
    <w:multiLevelType w:val="hybridMultilevel"/>
    <w:tmpl w:val="1F8487E8"/>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6F2E0A85"/>
    <w:multiLevelType w:val="hybridMultilevel"/>
    <w:tmpl w:val="E5FA3906"/>
    <w:lvl w:ilvl="0" w:tplc="A0FEB31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1D42F14"/>
    <w:multiLevelType w:val="hybridMultilevel"/>
    <w:tmpl w:val="2B6C173C"/>
    <w:lvl w:ilvl="0" w:tplc="C79EAE96">
      <w:start w:val="1"/>
      <w:numFmt w:val="decimal"/>
      <w:lvlText w:val="%1."/>
      <w:lvlJc w:val="left"/>
      <w:pPr>
        <w:tabs>
          <w:tab w:val="num" w:pos="1410"/>
        </w:tabs>
        <w:ind w:left="1410" w:hanging="70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24">
    <w:nsid w:val="7F8C639E"/>
    <w:multiLevelType w:val="hybridMultilevel"/>
    <w:tmpl w:val="77963E7A"/>
    <w:lvl w:ilvl="0" w:tplc="345633F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1"/>
  </w:num>
  <w:num w:numId="2">
    <w:abstractNumId w:val="23"/>
  </w:num>
  <w:num w:numId="3">
    <w:abstractNumId w:val="8"/>
  </w:num>
  <w:num w:numId="4">
    <w:abstractNumId w:val="24"/>
  </w:num>
  <w:num w:numId="5">
    <w:abstractNumId w:val="7"/>
  </w:num>
  <w:num w:numId="6">
    <w:abstractNumId w:val="12"/>
  </w:num>
  <w:num w:numId="7">
    <w:abstractNumId w:val="19"/>
  </w:num>
  <w:num w:numId="8">
    <w:abstractNumId w:val="0"/>
  </w:num>
  <w:num w:numId="9">
    <w:abstractNumId w:val="6"/>
  </w:num>
  <w:num w:numId="10">
    <w:abstractNumId w:val="20"/>
  </w:num>
  <w:num w:numId="11">
    <w:abstractNumId w:val="11"/>
  </w:num>
  <w:num w:numId="12">
    <w:abstractNumId w:val="1"/>
  </w:num>
  <w:num w:numId="13">
    <w:abstractNumId w:val="10"/>
  </w:num>
  <w:num w:numId="14">
    <w:abstractNumId w:val="3"/>
  </w:num>
  <w:num w:numId="15">
    <w:abstractNumId w:val="4"/>
  </w:num>
  <w:num w:numId="16">
    <w:abstractNumId w:val="2"/>
  </w:num>
  <w:num w:numId="17">
    <w:abstractNumId w:val="22"/>
  </w:num>
  <w:num w:numId="18">
    <w:abstractNumId w:val="17"/>
  </w:num>
  <w:num w:numId="19">
    <w:abstractNumId w:val="15"/>
  </w:num>
  <w:num w:numId="20">
    <w:abstractNumId w:val="16"/>
  </w:num>
  <w:num w:numId="21">
    <w:abstractNumId w:val="9"/>
  </w:num>
  <w:num w:numId="22">
    <w:abstractNumId w:val="18"/>
  </w:num>
  <w:num w:numId="23">
    <w:abstractNumId w:val="13"/>
  </w:num>
  <w:num w:numId="24">
    <w:abstractNumId w:val="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drawingGridHorizontalSpacing w:val="181"/>
  <w:drawingGridVerticalSpacing w:val="181"/>
  <w:noPunctuationKerning/>
  <w:characterSpacingControl w:val="doNotCompress"/>
  <w:hdrShapeDefaults>
    <o:shapedefaults v:ext="edit" spidmax="6146"/>
  </w:hdrShapeDefaults>
  <w:footnotePr>
    <w:footnote w:id="0"/>
    <w:footnote w:id="1"/>
  </w:footnotePr>
  <w:endnotePr>
    <w:endnote w:id="0"/>
    <w:endnote w:id="1"/>
  </w:endnotePr>
  <w:compat/>
  <w:rsids>
    <w:rsidRoot w:val="003A0569"/>
    <w:rsid w:val="00026D49"/>
    <w:rsid w:val="00067945"/>
    <w:rsid w:val="00077278"/>
    <w:rsid w:val="000A3045"/>
    <w:rsid w:val="000C010C"/>
    <w:rsid w:val="000E21C2"/>
    <w:rsid w:val="000E25C5"/>
    <w:rsid w:val="000F1F5E"/>
    <w:rsid w:val="000F5B7A"/>
    <w:rsid w:val="001334CD"/>
    <w:rsid w:val="001337F2"/>
    <w:rsid w:val="0015183C"/>
    <w:rsid w:val="00174507"/>
    <w:rsid w:val="001C7E85"/>
    <w:rsid w:val="002615BD"/>
    <w:rsid w:val="00271B7E"/>
    <w:rsid w:val="002C02E0"/>
    <w:rsid w:val="002C2847"/>
    <w:rsid w:val="00360C52"/>
    <w:rsid w:val="00361D16"/>
    <w:rsid w:val="003A0569"/>
    <w:rsid w:val="003B3D43"/>
    <w:rsid w:val="003D1FA2"/>
    <w:rsid w:val="003D3D81"/>
    <w:rsid w:val="0044377C"/>
    <w:rsid w:val="0044732A"/>
    <w:rsid w:val="00451F4C"/>
    <w:rsid w:val="00460207"/>
    <w:rsid w:val="00475360"/>
    <w:rsid w:val="00481693"/>
    <w:rsid w:val="004B742D"/>
    <w:rsid w:val="004D00BB"/>
    <w:rsid w:val="004F1486"/>
    <w:rsid w:val="0052789B"/>
    <w:rsid w:val="00544FB0"/>
    <w:rsid w:val="005B193C"/>
    <w:rsid w:val="005D0C98"/>
    <w:rsid w:val="005F27D8"/>
    <w:rsid w:val="005F6287"/>
    <w:rsid w:val="006053FA"/>
    <w:rsid w:val="00610FB1"/>
    <w:rsid w:val="0062184D"/>
    <w:rsid w:val="006251B7"/>
    <w:rsid w:val="00646039"/>
    <w:rsid w:val="00693034"/>
    <w:rsid w:val="006B3785"/>
    <w:rsid w:val="006B696A"/>
    <w:rsid w:val="006D10F1"/>
    <w:rsid w:val="006F57AE"/>
    <w:rsid w:val="007257F2"/>
    <w:rsid w:val="00793066"/>
    <w:rsid w:val="0079658D"/>
    <w:rsid w:val="007A3B5D"/>
    <w:rsid w:val="007A4042"/>
    <w:rsid w:val="00802BC9"/>
    <w:rsid w:val="00806654"/>
    <w:rsid w:val="00830F2F"/>
    <w:rsid w:val="00862BC6"/>
    <w:rsid w:val="00863C49"/>
    <w:rsid w:val="00866BF3"/>
    <w:rsid w:val="00876759"/>
    <w:rsid w:val="008A405E"/>
    <w:rsid w:val="008C7090"/>
    <w:rsid w:val="00934680"/>
    <w:rsid w:val="009453E9"/>
    <w:rsid w:val="009A2773"/>
    <w:rsid w:val="009A5497"/>
    <w:rsid w:val="009B4D93"/>
    <w:rsid w:val="00A24290"/>
    <w:rsid w:val="00A72C4B"/>
    <w:rsid w:val="00A7477C"/>
    <w:rsid w:val="00A8316A"/>
    <w:rsid w:val="00AB10A6"/>
    <w:rsid w:val="00AC7B5C"/>
    <w:rsid w:val="00B109F0"/>
    <w:rsid w:val="00B13DF3"/>
    <w:rsid w:val="00B1517D"/>
    <w:rsid w:val="00B258B8"/>
    <w:rsid w:val="00B41016"/>
    <w:rsid w:val="00B51503"/>
    <w:rsid w:val="00B672A1"/>
    <w:rsid w:val="00B95BCA"/>
    <w:rsid w:val="00BA767A"/>
    <w:rsid w:val="00BD022D"/>
    <w:rsid w:val="00BE40AD"/>
    <w:rsid w:val="00C250A3"/>
    <w:rsid w:val="00C266A7"/>
    <w:rsid w:val="00C47EE1"/>
    <w:rsid w:val="00C92433"/>
    <w:rsid w:val="00CA225B"/>
    <w:rsid w:val="00CC5CE5"/>
    <w:rsid w:val="00CE1FAC"/>
    <w:rsid w:val="00D111A7"/>
    <w:rsid w:val="00D438FB"/>
    <w:rsid w:val="00D470BE"/>
    <w:rsid w:val="00D52D18"/>
    <w:rsid w:val="00D56B00"/>
    <w:rsid w:val="00DB02CB"/>
    <w:rsid w:val="00DC3E7C"/>
    <w:rsid w:val="00DD259A"/>
    <w:rsid w:val="00DE09FE"/>
    <w:rsid w:val="00DE3851"/>
    <w:rsid w:val="00DF1669"/>
    <w:rsid w:val="00DF19A1"/>
    <w:rsid w:val="00DF71D0"/>
    <w:rsid w:val="00E424A6"/>
    <w:rsid w:val="00EA00C8"/>
    <w:rsid w:val="00EA5A8E"/>
    <w:rsid w:val="00EB1536"/>
    <w:rsid w:val="00EE20F4"/>
    <w:rsid w:val="00EE321A"/>
    <w:rsid w:val="00F15383"/>
    <w:rsid w:val="00F2583F"/>
    <w:rsid w:val="00F35213"/>
    <w:rsid w:val="00F47C98"/>
    <w:rsid w:val="00F7241C"/>
    <w:rsid w:val="00F805AC"/>
    <w:rsid w:val="00F9030E"/>
    <w:rsid w:val="00FC17FF"/>
    <w:rsid w:val="00FD0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CA"/>
    <w:rPr>
      <w:sz w:val="24"/>
      <w:szCs w:val="24"/>
      <w:lang w:val="hu-HU" w:eastAsia="ru-RU"/>
    </w:rPr>
  </w:style>
  <w:style w:type="paragraph" w:styleId="Heading1">
    <w:name w:val="heading 1"/>
    <w:basedOn w:val="Normal"/>
    <w:next w:val="Normal"/>
    <w:qFormat/>
    <w:rsid w:val="00F15383"/>
    <w:pPr>
      <w:keepNext/>
      <w:jc w:val="center"/>
      <w:outlineLvl w:val="0"/>
    </w:pPr>
    <w:rPr>
      <w:b/>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5BCA"/>
    <w:pPr>
      <w:tabs>
        <w:tab w:val="center" w:pos="4677"/>
        <w:tab w:val="right" w:pos="9355"/>
      </w:tabs>
    </w:pPr>
  </w:style>
  <w:style w:type="character" w:styleId="PageNumber">
    <w:name w:val="page number"/>
    <w:basedOn w:val="DefaultParagraphFont"/>
    <w:rsid w:val="00B95BCA"/>
  </w:style>
  <w:style w:type="paragraph" w:styleId="Header">
    <w:name w:val="header"/>
    <w:basedOn w:val="Normal"/>
    <w:rsid w:val="00B95BCA"/>
    <w:pPr>
      <w:tabs>
        <w:tab w:val="center" w:pos="4677"/>
        <w:tab w:val="right" w:pos="9355"/>
      </w:tabs>
    </w:pPr>
  </w:style>
  <w:style w:type="paragraph" w:styleId="BodyText2">
    <w:name w:val="Body Text 2"/>
    <w:basedOn w:val="Normal"/>
    <w:rsid w:val="00F15383"/>
    <w:rPr>
      <w:b/>
      <w:sz w:val="20"/>
      <w:szCs w:val="20"/>
      <w:lang w:val="en-AU" w:eastAsia="en-US"/>
    </w:rPr>
  </w:style>
  <w:style w:type="character" w:styleId="Hyperlink">
    <w:name w:val="Hyperlink"/>
    <w:basedOn w:val="DefaultParagraphFont"/>
    <w:uiPriority w:val="99"/>
    <w:rsid w:val="00EE321A"/>
    <w:rPr>
      <w:color w:val="0000FF"/>
      <w:u w:val="single"/>
    </w:rPr>
  </w:style>
  <w:style w:type="paragraph" w:styleId="BalloonText">
    <w:name w:val="Balloon Text"/>
    <w:basedOn w:val="Normal"/>
    <w:semiHidden/>
    <w:rsid w:val="0052789B"/>
    <w:rPr>
      <w:rFonts w:ascii="Tahoma" w:hAnsi="Tahoma" w:cs="Tahoma"/>
      <w:sz w:val="16"/>
      <w:szCs w:val="16"/>
    </w:rPr>
  </w:style>
  <w:style w:type="paragraph" w:styleId="ListParagraph">
    <w:name w:val="List Paragraph"/>
    <w:basedOn w:val="Normal"/>
    <w:uiPriority w:val="34"/>
    <w:qFormat/>
    <w:rsid w:val="00CE1FAC"/>
    <w:pPr>
      <w:spacing w:after="200" w:line="276" w:lineRule="auto"/>
      <w:ind w:left="720"/>
      <w:contextualSpacing/>
    </w:pPr>
    <w:rPr>
      <w:rFonts w:ascii="Calibri" w:eastAsia="Calibri" w:hAnsi="Calibri"/>
      <w:sz w:val="22"/>
      <w:szCs w:val="22"/>
      <w:lang w:val="ru-RU" w:eastAsia="en-US"/>
    </w:rPr>
  </w:style>
  <w:style w:type="paragraph" w:customStyle="1" w:styleId="TableContents">
    <w:name w:val="Table Contents"/>
    <w:basedOn w:val="Normal"/>
    <w:rsid w:val="00CE1FAC"/>
    <w:pPr>
      <w:widowControl w:val="0"/>
      <w:suppressLineNumbers/>
      <w:suppressAutoHyphens/>
    </w:pPr>
    <w:rPr>
      <w:rFonts w:eastAsia="Andale Sans UI"/>
      <w:kern w:val="1"/>
      <w:lang w:val="ru-RU" w:eastAsia="en-US"/>
    </w:rPr>
  </w:style>
  <w:style w:type="paragraph" w:styleId="NormalWeb">
    <w:name w:val="Normal (Web)"/>
    <w:basedOn w:val="Normal"/>
    <w:uiPriority w:val="99"/>
    <w:unhideWhenUsed/>
    <w:rsid w:val="00CE1FAC"/>
    <w:pPr>
      <w:spacing w:before="100" w:beforeAutospacing="1" w:after="115"/>
    </w:pPr>
    <w:rPr>
      <w:lang w:val="ru-RU"/>
    </w:rPr>
  </w:style>
  <w:style w:type="character" w:customStyle="1" w:styleId="FootnoteCharacters">
    <w:name w:val="Footnote Characters"/>
    <w:rsid w:val="00CE1FAC"/>
    <w:rPr>
      <w:vertAlign w:val="superscript"/>
    </w:rPr>
  </w:style>
  <w:style w:type="character" w:customStyle="1" w:styleId="1">
    <w:name w:val="Знак сноски1"/>
    <w:rsid w:val="00CE1FAC"/>
    <w:rPr>
      <w:vertAlign w:val="superscript"/>
    </w:rPr>
  </w:style>
  <w:style w:type="character" w:customStyle="1" w:styleId="WW8Num2z0">
    <w:name w:val="WW8Num2z0"/>
    <w:rsid w:val="00CE1FAC"/>
    <w:rPr>
      <w:rFonts w:ascii="Wingdings" w:hAnsi="Wingdings" w:cs="OpenSymbol"/>
    </w:rPr>
  </w:style>
  <w:style w:type="paragraph" w:styleId="BodyText">
    <w:name w:val="Body Text"/>
    <w:basedOn w:val="Normal"/>
    <w:link w:val="BodyTextChar"/>
    <w:rsid w:val="00CE1FAC"/>
    <w:pPr>
      <w:suppressAutoHyphens/>
      <w:spacing w:after="120"/>
    </w:pPr>
    <w:rPr>
      <w:lang w:eastAsia="ar-SA"/>
    </w:rPr>
  </w:style>
  <w:style w:type="character" w:customStyle="1" w:styleId="BodyTextChar">
    <w:name w:val="Body Text Char"/>
    <w:basedOn w:val="DefaultParagraphFont"/>
    <w:link w:val="BodyText"/>
    <w:rsid w:val="00CE1FAC"/>
    <w:rPr>
      <w:sz w:val="24"/>
      <w:szCs w:val="24"/>
      <w:lang w:val="hu-HU" w:eastAsia="ar-SA"/>
    </w:rPr>
  </w:style>
  <w:style w:type="paragraph" w:styleId="FootnoteText">
    <w:name w:val="footnote text"/>
    <w:aliases w:val="single space,footnote text"/>
    <w:basedOn w:val="Normal"/>
    <w:link w:val="FootnoteTextChar"/>
    <w:rsid w:val="00CE1FAC"/>
    <w:pPr>
      <w:suppressLineNumbers/>
      <w:suppressAutoHyphens/>
      <w:ind w:left="283" w:hanging="283"/>
    </w:pPr>
    <w:rPr>
      <w:sz w:val="20"/>
      <w:szCs w:val="20"/>
      <w:lang w:eastAsia="ar-SA"/>
    </w:rPr>
  </w:style>
  <w:style w:type="character" w:customStyle="1" w:styleId="FootnoteTextChar">
    <w:name w:val="Footnote Text Char"/>
    <w:aliases w:val="single space Char,footnote text Char1"/>
    <w:basedOn w:val="DefaultParagraphFont"/>
    <w:link w:val="FootnoteText"/>
    <w:rsid w:val="00CE1FAC"/>
    <w:rPr>
      <w:lang w:val="hu-HU" w:eastAsia="ar-SA"/>
    </w:rPr>
  </w:style>
  <w:style w:type="character" w:styleId="FootnoteReference">
    <w:name w:val="footnote reference"/>
    <w:rsid w:val="00693034"/>
    <w:rPr>
      <w:rFonts w:cs="Times New Roman"/>
      <w:vertAlign w:val="superscript"/>
    </w:rPr>
  </w:style>
  <w:style w:type="character" w:customStyle="1" w:styleId="FootnoteTextChar1">
    <w:name w:val="Footnote Text Char1"/>
    <w:aliases w:val="single space Char2,footnote text Char"/>
    <w:locked/>
    <w:rsid w:val="00693034"/>
    <w:rPr>
      <w:rFonts w:ascii="Calibri" w:eastAsia="Times New Roman" w:hAnsi="Calibri" w:cs="Times New Roman"/>
      <w:sz w:val="20"/>
      <w:szCs w:val="20"/>
      <w:lang w:val="ru-RU" w:eastAsia="ru-RU"/>
    </w:rPr>
  </w:style>
  <w:style w:type="character" w:styleId="Strong">
    <w:name w:val="Strong"/>
    <w:basedOn w:val="DefaultParagraphFont"/>
    <w:uiPriority w:val="22"/>
    <w:qFormat/>
    <w:rsid w:val="00067945"/>
    <w:rPr>
      <w:b/>
      <w:bCs/>
    </w:rPr>
  </w:style>
  <w:style w:type="character" w:customStyle="1" w:styleId="apple-converted-space">
    <w:name w:val="apple-converted-space"/>
    <w:basedOn w:val="DefaultParagraphFont"/>
    <w:rsid w:val="00067945"/>
  </w:style>
  <w:style w:type="table" w:styleId="TableGrid">
    <w:name w:val="Table Grid"/>
    <w:basedOn w:val="TableNormal"/>
    <w:uiPriority w:val="59"/>
    <w:rsid w:val="000F5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2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hcav@hcav.am" TargetMode="External"/><Relationship Id="rId1" Type="http://schemas.openxmlformats.org/officeDocument/2006/relationships/hyperlink" Target="mailto:hcav@hcav.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A1136-7469-4720-8764-10D73293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The “Helsinki Citizens` Assembly (HCA) - Vanadzor” was founded on 21 March, 1998, as a branch of the Armenian Committee of the</vt:lpstr>
      <vt:lpstr>The “Helsinki Citizens` Assembly (HCA) - Vanadzor” was founded on 21 March, 1998, as a branch of the Armenian Committee of the</vt:lpstr>
    </vt:vector>
  </TitlesOfParts>
  <Company>MASTER LTD</Company>
  <LinksUpToDate>false</LinksUpToDate>
  <CharactersWithSpaces>3548</CharactersWithSpaces>
  <SharedDoc>false</SharedDoc>
  <HLinks>
    <vt:vector size="12" baseType="variant">
      <vt:variant>
        <vt:i4>6226040</vt:i4>
      </vt:variant>
      <vt:variant>
        <vt:i4>5</vt:i4>
      </vt:variant>
      <vt:variant>
        <vt:i4>0</vt:i4>
      </vt:variant>
      <vt:variant>
        <vt:i4>5</vt:i4>
      </vt:variant>
      <vt:variant>
        <vt:lpwstr>mailto:hcav@hcav.am</vt:lpwstr>
      </vt:variant>
      <vt:variant>
        <vt:lpwstr/>
      </vt:variant>
      <vt:variant>
        <vt:i4>6226040</vt:i4>
      </vt:variant>
      <vt:variant>
        <vt:i4>2</vt:i4>
      </vt:variant>
      <vt:variant>
        <vt:i4>0</vt:i4>
      </vt:variant>
      <vt:variant>
        <vt:i4>5</vt:i4>
      </vt:variant>
      <vt:variant>
        <vt:lpwstr>mailto:hcav@hcav.am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“Helsinki Citizens` Assembly (HCA) - Vanadzor” was founded on 21 March, 1998, as a branch of the Armenian Committee of the</dc:title>
  <dc:creator>Narine</dc:creator>
  <cp:lastModifiedBy>Narine</cp:lastModifiedBy>
  <cp:revision>1</cp:revision>
  <cp:lastPrinted>2013-04-30T12:15:00Z</cp:lastPrinted>
  <dcterms:created xsi:type="dcterms:W3CDTF">2016-03-02T14:13:00Z</dcterms:created>
  <dcterms:modified xsi:type="dcterms:W3CDTF">2016-03-02T14:16:00Z</dcterms:modified>
</cp:coreProperties>
</file>