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4" w:rsidRPr="00B62964" w:rsidRDefault="00B62964" w:rsidP="00B62964">
      <w:pPr>
        <w:jc w:val="center"/>
        <w:rPr>
          <w:rFonts w:ascii="Sylfaen" w:hAnsi="Sylfaen"/>
          <w:b/>
          <w:color w:val="1F497D" w:themeColor="text2"/>
          <w:sz w:val="22"/>
          <w:szCs w:val="22"/>
        </w:rPr>
      </w:pPr>
      <w:r w:rsidRPr="00B62964">
        <w:rPr>
          <w:rFonts w:ascii="Sylfaen" w:hAnsi="Sylfaen"/>
          <w:b/>
          <w:color w:val="1F497D" w:themeColor="text2"/>
          <w:sz w:val="22"/>
          <w:szCs w:val="22"/>
        </w:rPr>
        <w:t>Մամուլի հաղորդագրություն</w:t>
      </w:r>
    </w:p>
    <w:p w:rsidR="00B62964" w:rsidRPr="00B62964" w:rsidRDefault="00B62964" w:rsidP="00B62964">
      <w:pPr>
        <w:jc w:val="right"/>
        <w:rPr>
          <w:rFonts w:ascii="Sylfaen" w:hAnsi="Sylfaen"/>
          <w:b/>
          <w:color w:val="1F497D" w:themeColor="text2"/>
          <w:sz w:val="18"/>
          <w:szCs w:val="18"/>
        </w:rPr>
      </w:pPr>
      <w:r w:rsidRPr="00B62964">
        <w:rPr>
          <w:rFonts w:ascii="Sylfaen" w:hAnsi="Sylfaen"/>
          <w:b/>
          <w:color w:val="1F497D" w:themeColor="text2"/>
          <w:sz w:val="18"/>
          <w:szCs w:val="18"/>
        </w:rPr>
        <w:t>0</w:t>
      </w:r>
      <w:r>
        <w:rPr>
          <w:rFonts w:ascii="Sylfaen" w:hAnsi="Sylfaen"/>
          <w:b/>
          <w:color w:val="1F497D" w:themeColor="text2"/>
          <w:sz w:val="18"/>
          <w:szCs w:val="18"/>
        </w:rPr>
        <w:t>5</w:t>
      </w:r>
      <w:r w:rsidRPr="00B62964">
        <w:rPr>
          <w:rFonts w:ascii="Sylfaen" w:hAnsi="Sylfaen"/>
          <w:b/>
          <w:color w:val="1F497D" w:themeColor="text2"/>
          <w:sz w:val="18"/>
          <w:szCs w:val="18"/>
        </w:rPr>
        <w:t xml:space="preserve"> մարտի 2016</w:t>
      </w:r>
    </w:p>
    <w:p w:rsidR="00B62964" w:rsidRPr="00B62964" w:rsidRDefault="00B62964" w:rsidP="00B62964">
      <w:pPr>
        <w:jc w:val="right"/>
        <w:rPr>
          <w:rFonts w:ascii="Sylfaen" w:hAnsi="Sylfaen"/>
          <w:b/>
          <w:color w:val="1F497D" w:themeColor="text2"/>
          <w:sz w:val="18"/>
          <w:szCs w:val="18"/>
        </w:rPr>
      </w:pPr>
    </w:p>
    <w:p w:rsidR="00B62964" w:rsidRPr="00B62964" w:rsidRDefault="00B62964" w:rsidP="00B62964">
      <w:pPr>
        <w:jc w:val="center"/>
        <w:rPr>
          <w:rFonts w:ascii="Sylfaen" w:hAnsi="Sylfaen"/>
          <w:b/>
          <w:color w:val="1F497D" w:themeColor="text2"/>
          <w:sz w:val="22"/>
          <w:szCs w:val="22"/>
        </w:rPr>
      </w:pPr>
      <w:r w:rsidRPr="00B62964">
        <w:rPr>
          <w:rFonts w:ascii="Sylfaen" w:hAnsi="Sylfaen"/>
          <w:b/>
          <w:color w:val="1F497D" w:themeColor="text2"/>
          <w:sz w:val="22"/>
          <w:szCs w:val="22"/>
        </w:rPr>
        <w:t>Ավետիսյանների ընտանիքի սպանության գործով ո</w:t>
      </w:r>
      <w:r>
        <w:rPr>
          <w:rFonts w:ascii="Sylfaen" w:hAnsi="Sylfaen"/>
          <w:b/>
          <w:color w:val="1F497D" w:themeColor="text2"/>
          <w:sz w:val="22"/>
          <w:szCs w:val="22"/>
        </w:rPr>
        <w:t>ւ</w:t>
      </w:r>
      <w:r w:rsidRPr="00B62964">
        <w:rPr>
          <w:rFonts w:ascii="Sylfaen" w:hAnsi="Sylfaen"/>
          <w:b/>
          <w:color w:val="1F497D" w:themeColor="text2"/>
          <w:sz w:val="22"/>
          <w:szCs w:val="22"/>
        </w:rPr>
        <w:t>թերորդ դատական նիստի մասին</w:t>
      </w:r>
    </w:p>
    <w:p w:rsidR="00B62964" w:rsidRPr="00B62964" w:rsidRDefault="00B62964" w:rsidP="002A172C">
      <w:pPr>
        <w:spacing w:before="100" w:beforeAutospacing="1" w:after="290"/>
        <w:jc w:val="both"/>
        <w:rPr>
          <w:rFonts w:ascii="Sylfaen" w:hAnsi="Sylfaen"/>
          <w:color w:val="1F497D" w:themeColor="text2"/>
          <w:sz w:val="22"/>
          <w:szCs w:val="22"/>
          <w:lang w:eastAsia="en-US"/>
        </w:rPr>
      </w:pPr>
    </w:p>
    <w:p w:rsidR="002A172C" w:rsidRPr="008665E9" w:rsidRDefault="002A172C" w:rsidP="002A172C">
      <w:pPr>
        <w:spacing w:before="100" w:beforeAutospacing="1" w:after="290"/>
        <w:jc w:val="both"/>
        <w:rPr>
          <w:rFonts w:ascii="Sylfaen" w:hAnsi="Sylfaen"/>
          <w:color w:val="1F497D" w:themeColor="text2"/>
          <w:sz w:val="22"/>
          <w:szCs w:val="22"/>
          <w:lang w:eastAsia="en-US"/>
        </w:rPr>
      </w:pP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2016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թվականի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մարտի</w:t>
      </w:r>
      <w:r w:rsidRPr="008665E9">
        <w:rPr>
          <w:rFonts w:ascii="Sylfaen" w:hAnsi="Sylfaen" w:cs="Sylfaen"/>
          <w:color w:val="1F497D" w:themeColor="text2"/>
          <w:sz w:val="22"/>
          <w:szCs w:val="22"/>
          <w:lang w:eastAsia="en-US"/>
        </w:rPr>
        <w:t xml:space="preserve"> 4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>-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ին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ռուսական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102-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րդ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ռազմաբազայի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տարածքում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տեղի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ունեցավ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Շիրակի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մարզի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ընդհանուր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իրավասության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դատարանի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ութերորդ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արտագնա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դատական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նիստը՝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Ավետիսյանների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ընտանիքի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սպանության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գործով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>:</w:t>
      </w:r>
    </w:p>
    <w:p w:rsidR="00E16D36" w:rsidRDefault="002A172C" w:rsidP="002A172C">
      <w:pPr>
        <w:spacing w:before="100" w:beforeAutospacing="1" w:after="290"/>
        <w:jc w:val="both"/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</w:pP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Այս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դատական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նիստի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ընթացքում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հարցաքննվեցին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գործով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ներգրավված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 w:cs="Georgia"/>
          <w:color w:val="1F497D" w:themeColor="text2"/>
          <w:sz w:val="22"/>
          <w:szCs w:val="22"/>
          <w:lang w:val="en-US" w:eastAsia="en-US"/>
        </w:rPr>
        <w:t>երեք</w:t>
      </w:r>
      <w:r w:rsidRPr="008665E9">
        <w:rPr>
          <w:rFonts w:ascii="Sylfaen" w:hAnsi="Sylfaen" w:cs="Georgia"/>
          <w:color w:val="1F497D" w:themeColor="text2"/>
          <w:sz w:val="22"/>
          <w:szCs w:val="22"/>
          <w:lang w:eastAsia="en-US"/>
        </w:rPr>
        <w:t xml:space="preserve"> </w:t>
      </w:r>
      <w:r w:rsidRPr="002A172C">
        <w:rPr>
          <w:rFonts w:ascii="Sylfaen" w:hAnsi="Sylfaen" w:cs="Sylfaen"/>
          <w:color w:val="1F497D" w:themeColor="text2"/>
          <w:sz w:val="22"/>
          <w:szCs w:val="22"/>
          <w:lang w:val="en-US" w:eastAsia="en-US"/>
        </w:rPr>
        <w:t>վկաներ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՝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="00E16D36" w:rsidRPr="00E16D36">
        <w:rPr>
          <w:rFonts w:ascii="Sylfaen" w:hAnsi="Sylfaen"/>
          <w:color w:val="1F497D" w:themeColor="text2"/>
          <w:sz w:val="22"/>
          <w:szCs w:val="22"/>
          <w:shd w:val="clear" w:color="auto" w:fill="FFFFFF"/>
        </w:rPr>
        <w:t xml:space="preserve">Երազգավորս գյուղի բնակիչ Միքայել Խլղաթյանը,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Գյումրիում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տեղեկայված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ռուսական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սահմանապահ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ջոկատի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վարորդ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Մամիկոն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 </w:t>
      </w:r>
      <w:r w:rsidRPr="00E16D36">
        <w:rPr>
          <w:rFonts w:ascii="Sylfaen" w:hAnsi="Sylfaen"/>
          <w:color w:val="1F497D" w:themeColor="text2"/>
          <w:sz w:val="22"/>
          <w:szCs w:val="22"/>
          <w:lang w:val="en-US" w:eastAsia="en-US"/>
        </w:rPr>
        <w:t>Հարությունյանը</w:t>
      </w:r>
      <w:r w:rsidRPr="008665E9">
        <w:rPr>
          <w:rFonts w:ascii="Sylfaen" w:hAnsi="Sylfaen"/>
          <w:color w:val="1F497D" w:themeColor="text2"/>
          <w:sz w:val="22"/>
          <w:szCs w:val="22"/>
          <w:lang w:eastAsia="en-US"/>
        </w:rPr>
        <w:t xml:space="preserve">, </w:t>
      </w:r>
      <w:r w:rsidRPr="00E16D36">
        <w:rPr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սահմանապահ </w:t>
      </w:r>
      <w:r w:rsidR="00586A28">
        <w:rPr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զորքերի շտաբի պետի տեղակալ</w:t>
      </w:r>
      <w:r w:rsidRPr="00E16D36">
        <w:rPr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 Դավիթ Միրզոյան</w:t>
      </w:r>
      <w:r w:rsidRPr="00E16D36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ը</w:t>
      </w:r>
      <w:r w:rsidR="00E16D36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:</w:t>
      </w:r>
    </w:p>
    <w:p w:rsidR="00E16D36" w:rsidRDefault="00E16D36" w:rsidP="00E16D36">
      <w:pPr>
        <w:spacing w:before="100" w:beforeAutospacing="1" w:after="290"/>
        <w:jc w:val="both"/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</w:pP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Արձանգրվեց, որ ՀՀ իրավապահների կողմից Ավետիսյանների ընտանիքի սպանության մեջ կասկածվող Վալերի Պերմյակովին հայտնաբերելու, ձերբակալելու և հայկական կողմին հանձնելու վերաբերյալ որևէ պահանջ ռուսական կողմին չի ներկայացվել, չնայած՝ փաստեր ներկայացվեցին ՀՀ իրավապահների՝ որոնողական աշխատանքների մեջ ներգրավված լինելու վերաբերյալ, ավելին՝ ըստ վկաների ցուցմունքների՝ </w:t>
      </w:r>
      <w:r w:rsidR="00586A28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հայ իրավապահները</w:t>
      </w: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 գտնվել են ռուսական զորամիավորման շտաբում և ներկա են եղել Պերմյակովին ռուսական սահմանապահների կողմից ռուսական բազային հանձնելու պահին:</w:t>
      </w:r>
    </w:p>
    <w:p w:rsidR="005F2BEB" w:rsidRDefault="00E16D36" w:rsidP="00E16D36">
      <w:pPr>
        <w:spacing w:before="100" w:beforeAutospacing="1" w:after="290"/>
        <w:jc w:val="both"/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</w:pP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Ըստ </w:t>
      </w:r>
      <w:r w:rsidRPr="00E16D36">
        <w:rPr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սահմանապահ ջոկատի շտաբի հրամանատարի տեղակալ, սահմանի պաշտպանության բաժանմունքի պետ Դավիթ Միրզոյան</w:t>
      </w: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ի՝ իրենք հրահանգ են ստացել </w:t>
      </w:r>
      <w:r w:rsidR="00586A28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Վ. </w:t>
      </w:r>
      <w:r w:rsidR="005F2BEB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Պերմյակովին գտնելու և ձերբակալելու վերաբերյալ ոչ թե որպես Ավետիսյանների ընտանիքի սպանության մեջ կասկածվող անձի, չնայած, որ մամուլից արդեն տեղեկացել էին դեպքի մասին, այլ՝ որպես բազայի տարածքը ինքնակամ լքած և զենքը ապօրինի դուրսբերած զինծառայողի:</w:t>
      </w:r>
    </w:p>
    <w:p w:rsidR="005F2BEB" w:rsidRDefault="005F2BEB" w:rsidP="00B62964">
      <w:pPr>
        <w:spacing w:before="100" w:beforeAutospacing="1" w:after="290"/>
        <w:jc w:val="both"/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</w:pP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Վ. Պերմյակովին, հայ-թուրքական սահմանը խախտելու փորձ կատարելու պահին հայտնաբերվելուց և ձերբակալվելուց հետո, Սահմանապահ զորքերի </w:t>
      </w:r>
      <w:r w:rsidR="00586A28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հրամանատարի</w:t>
      </w: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 հրահանգով բազա են տեղափոխել՝ շրջանցելով ՀՀ իրավապահների կողմից վերահսկվող ճանապարհը:</w:t>
      </w:r>
    </w:p>
    <w:p w:rsidR="005F2BEB" w:rsidRDefault="005F2BEB" w:rsidP="00B62964">
      <w:pPr>
        <w:spacing w:before="100" w:beforeAutospacing="1" w:after="290"/>
        <w:jc w:val="both"/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</w:pP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Հաշվի առնելով այն հանգամանքը, որ դատակոչված վկաներից միայն մեկ վկա է հարցաքննվելու հաջորդ դատական նիստին, Ավետիսյանների իրավահաջորդների ներկայացուցիչների կողմից միջնորդություն ներկայացվեց գործով ներգրավված մյուս վեց վկաների ներկայությունը </w:t>
      </w:r>
      <w:r w:rsidR="00B62964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ևս </w:t>
      </w:r>
      <w:r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հաջորդ դատական նիստին ապահովելու վերաբերյալ:</w:t>
      </w:r>
      <w:r w:rsidR="00B62964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 xml:space="preserve"> </w:t>
      </w:r>
      <w:r w:rsidR="00586A28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Հիշեցնենք, որ վ</w:t>
      </w:r>
      <w:r w:rsidR="00B62964">
        <w:rPr>
          <w:rStyle w:val="apple-converted-space"/>
          <w:rFonts w:ascii="Sylfaen" w:hAnsi="Sylfaen" w:cs="Tahoma"/>
          <w:color w:val="1F497D" w:themeColor="text2"/>
          <w:sz w:val="22"/>
          <w:szCs w:val="22"/>
          <w:shd w:val="clear" w:color="auto" w:fill="FFFFFF"/>
        </w:rPr>
        <w:t>երջիններս արդեն զորացրվել են:</w:t>
      </w:r>
    </w:p>
    <w:p w:rsidR="00863C49" w:rsidRPr="00B62964" w:rsidRDefault="00B62964" w:rsidP="00B62964">
      <w:pPr>
        <w:spacing w:before="100" w:beforeAutospacing="1" w:after="290"/>
        <w:jc w:val="both"/>
        <w:rPr>
          <w:rFonts w:ascii="Sylfaen" w:hAnsi="Sylfaen" w:cs="Tahoma"/>
          <w:color w:val="1F497D" w:themeColor="text2"/>
          <w:sz w:val="22"/>
          <w:szCs w:val="22"/>
          <w:shd w:val="clear" w:color="auto" w:fill="FFFFFF"/>
        </w:rPr>
      </w:pP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Ավետիսյանների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սպանության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գործով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Շիրակի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մարզի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ընդհանուր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իրավասության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դատարանի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հաջորդ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արտագնա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դատական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նիստը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նշանակված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է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2016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թ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.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մարտի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>11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>-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ին՝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ժամը</w:t>
      </w:r>
      <w:r w:rsidRPr="00B62964">
        <w:rPr>
          <w:rFonts w:ascii="Sylfaen" w:hAnsi="Sylfaen" w:cs="Georgia"/>
          <w:color w:val="1F497D" w:themeColor="text2"/>
          <w:sz w:val="22"/>
          <w:szCs w:val="22"/>
          <w:shd w:val="clear" w:color="auto" w:fill="FFFFFF"/>
        </w:rPr>
        <w:t xml:space="preserve"> 12:00-</w:t>
      </w:r>
      <w:r w:rsidRPr="00B62964">
        <w:rPr>
          <w:rFonts w:ascii="Sylfaen" w:hAnsi="Sylfaen" w:cs="Sylfaen"/>
          <w:color w:val="1F497D" w:themeColor="text2"/>
          <w:sz w:val="22"/>
          <w:szCs w:val="22"/>
          <w:shd w:val="clear" w:color="auto" w:fill="FFFFFF"/>
        </w:rPr>
        <w:t>ին</w:t>
      </w:r>
      <w:r w:rsidRPr="00B62964">
        <w:rPr>
          <w:rFonts w:ascii="Sylfaen" w:hAnsi="Sylfaen"/>
          <w:color w:val="1F497D" w:themeColor="text2"/>
          <w:sz w:val="22"/>
          <w:szCs w:val="22"/>
          <w:shd w:val="clear" w:color="auto" w:fill="FFFFFF"/>
        </w:rPr>
        <w:t>:</w:t>
      </w:r>
    </w:p>
    <w:sectPr w:rsidR="00863C49" w:rsidRPr="00B62964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65" w:rsidRDefault="00733565">
      <w:r>
        <w:separator/>
      </w:r>
    </w:p>
  </w:endnote>
  <w:endnote w:type="continuationSeparator" w:id="1">
    <w:p w:rsidR="00733565" w:rsidRDefault="0073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F1298D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65" w:rsidRDefault="00733565">
      <w:r>
        <w:separator/>
      </w:r>
    </w:p>
  </w:footnote>
  <w:footnote w:type="continuationSeparator" w:id="1">
    <w:p w:rsidR="00733565" w:rsidRDefault="00733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B10A6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10A6" w:rsidRDefault="00AB10A6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  <w:r w:rsidRPr="00DF71D0">
      <w:rPr>
        <w:rFonts w:ascii="Arial" w:hAnsi="Arial" w:cs="Arial"/>
        <w:b w:val="0"/>
        <w:color w:val="000080"/>
        <w:sz w:val="22"/>
        <w:szCs w:val="22"/>
      </w:rPr>
      <w:t xml:space="preserve"> 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r w:rsidRPr="00DF71D0">
      <w:rPr>
        <w:rFonts w:ascii="Arial" w:hAnsi="Arial" w:cs="Arial"/>
        <w:b w:val="0"/>
        <w:color w:val="000080"/>
        <w:sz w:val="22"/>
        <w:szCs w:val="22"/>
      </w:rPr>
      <w:t>HELSINKI CITIZENS` ASSEMBLY VANADZOR OFFICE</w:t>
    </w:r>
  </w:p>
  <w:p w:rsidR="0044732A" w:rsidRPr="006251B7" w:rsidRDefault="0044732A" w:rsidP="00B13DF3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26D49"/>
    <w:rsid w:val="00067945"/>
    <w:rsid w:val="00077278"/>
    <w:rsid w:val="000A3045"/>
    <w:rsid w:val="000C010C"/>
    <w:rsid w:val="000E21C2"/>
    <w:rsid w:val="000E25C5"/>
    <w:rsid w:val="000F1F5E"/>
    <w:rsid w:val="000F5B7A"/>
    <w:rsid w:val="001334CD"/>
    <w:rsid w:val="001337F2"/>
    <w:rsid w:val="0015183C"/>
    <w:rsid w:val="00174507"/>
    <w:rsid w:val="001C7E85"/>
    <w:rsid w:val="002615BD"/>
    <w:rsid w:val="00271B7E"/>
    <w:rsid w:val="002A172C"/>
    <w:rsid w:val="002C02E0"/>
    <w:rsid w:val="002C2847"/>
    <w:rsid w:val="00360C52"/>
    <w:rsid w:val="00361D16"/>
    <w:rsid w:val="003A0569"/>
    <w:rsid w:val="003B3D43"/>
    <w:rsid w:val="003D1FA2"/>
    <w:rsid w:val="003D3D81"/>
    <w:rsid w:val="0044377C"/>
    <w:rsid w:val="0044732A"/>
    <w:rsid w:val="00451F4C"/>
    <w:rsid w:val="00460207"/>
    <w:rsid w:val="00475360"/>
    <w:rsid w:val="00481693"/>
    <w:rsid w:val="004B742D"/>
    <w:rsid w:val="004D00BB"/>
    <w:rsid w:val="004F1486"/>
    <w:rsid w:val="0052789B"/>
    <w:rsid w:val="00544FB0"/>
    <w:rsid w:val="00586A28"/>
    <w:rsid w:val="005B193C"/>
    <w:rsid w:val="005D0C98"/>
    <w:rsid w:val="005F27D8"/>
    <w:rsid w:val="005F2BEB"/>
    <w:rsid w:val="005F6287"/>
    <w:rsid w:val="00610FB1"/>
    <w:rsid w:val="0062184D"/>
    <w:rsid w:val="006251B7"/>
    <w:rsid w:val="00646039"/>
    <w:rsid w:val="00693034"/>
    <w:rsid w:val="006B3785"/>
    <w:rsid w:val="006B696A"/>
    <w:rsid w:val="006D10F1"/>
    <w:rsid w:val="006F57AE"/>
    <w:rsid w:val="007257F2"/>
    <w:rsid w:val="00733565"/>
    <w:rsid w:val="00793066"/>
    <w:rsid w:val="0079658D"/>
    <w:rsid w:val="007A3B5D"/>
    <w:rsid w:val="007A4042"/>
    <w:rsid w:val="007C0C9C"/>
    <w:rsid w:val="00802BC9"/>
    <w:rsid w:val="00806654"/>
    <w:rsid w:val="00830F2F"/>
    <w:rsid w:val="00862BC6"/>
    <w:rsid w:val="00863C49"/>
    <w:rsid w:val="008665E9"/>
    <w:rsid w:val="00866BF3"/>
    <w:rsid w:val="00876759"/>
    <w:rsid w:val="008A405E"/>
    <w:rsid w:val="008C7090"/>
    <w:rsid w:val="00934680"/>
    <w:rsid w:val="009453E9"/>
    <w:rsid w:val="009A2773"/>
    <w:rsid w:val="009A5497"/>
    <w:rsid w:val="009B4D93"/>
    <w:rsid w:val="00A72C4B"/>
    <w:rsid w:val="00A7477C"/>
    <w:rsid w:val="00A8316A"/>
    <w:rsid w:val="00AB10A6"/>
    <w:rsid w:val="00AC7B5C"/>
    <w:rsid w:val="00AE0618"/>
    <w:rsid w:val="00B109F0"/>
    <w:rsid w:val="00B13DF3"/>
    <w:rsid w:val="00B1517D"/>
    <w:rsid w:val="00B258B8"/>
    <w:rsid w:val="00B41016"/>
    <w:rsid w:val="00B51503"/>
    <w:rsid w:val="00B62964"/>
    <w:rsid w:val="00B672A1"/>
    <w:rsid w:val="00B95BCA"/>
    <w:rsid w:val="00BA767A"/>
    <w:rsid w:val="00BD022D"/>
    <w:rsid w:val="00BE40AD"/>
    <w:rsid w:val="00C250A3"/>
    <w:rsid w:val="00C266A7"/>
    <w:rsid w:val="00C47EE1"/>
    <w:rsid w:val="00C92433"/>
    <w:rsid w:val="00CA225B"/>
    <w:rsid w:val="00CC5CE5"/>
    <w:rsid w:val="00CE1FAC"/>
    <w:rsid w:val="00D111A7"/>
    <w:rsid w:val="00D438FB"/>
    <w:rsid w:val="00D470BE"/>
    <w:rsid w:val="00D52D18"/>
    <w:rsid w:val="00D56B00"/>
    <w:rsid w:val="00DB02CB"/>
    <w:rsid w:val="00DC3E7C"/>
    <w:rsid w:val="00DD259A"/>
    <w:rsid w:val="00DE3851"/>
    <w:rsid w:val="00DF1669"/>
    <w:rsid w:val="00DF19A1"/>
    <w:rsid w:val="00DF71D0"/>
    <w:rsid w:val="00E16D36"/>
    <w:rsid w:val="00E424A6"/>
    <w:rsid w:val="00EA00C8"/>
    <w:rsid w:val="00EA5A8E"/>
    <w:rsid w:val="00EB1536"/>
    <w:rsid w:val="00EE20F4"/>
    <w:rsid w:val="00EE321A"/>
    <w:rsid w:val="00F1298D"/>
    <w:rsid w:val="00F15383"/>
    <w:rsid w:val="00F2583F"/>
    <w:rsid w:val="00F35213"/>
    <w:rsid w:val="00F47C98"/>
    <w:rsid w:val="00F7241C"/>
    <w:rsid w:val="00F805AC"/>
    <w:rsid w:val="00F9030E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1136-7469-4720-8764-10D7329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2145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1</cp:revision>
  <cp:lastPrinted>2016-03-05T11:54:00Z</cp:lastPrinted>
  <dcterms:created xsi:type="dcterms:W3CDTF">2016-03-05T12:12:00Z</dcterms:created>
  <dcterms:modified xsi:type="dcterms:W3CDTF">2016-03-05T12:13:00Z</dcterms:modified>
</cp:coreProperties>
</file>