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2F0436" w:rsidP="00A549B0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12</w:t>
      </w:r>
      <w:r w:rsidR="00163223">
        <w:rPr>
          <w:rFonts w:ascii="Sylfaen" w:hAnsi="Sylfaen"/>
          <w:b/>
          <w:sz w:val="22"/>
          <w:szCs w:val="22"/>
        </w:rPr>
        <w:t xml:space="preserve"> </w:t>
      </w:r>
      <w:r w:rsidR="008D0C75">
        <w:rPr>
          <w:rFonts w:ascii="Sylfaen" w:hAnsi="Sylfaen"/>
          <w:b/>
          <w:sz w:val="22"/>
          <w:szCs w:val="22"/>
          <w:lang w:val="hy-AM"/>
        </w:rPr>
        <w:t>ապրիլի</w:t>
      </w:r>
      <w:r w:rsidR="00A549B0" w:rsidRPr="00AB4E70">
        <w:rPr>
          <w:rFonts w:ascii="Sylfaen" w:hAnsi="Sylfaen"/>
          <w:b/>
          <w:sz w:val="22"/>
          <w:szCs w:val="22"/>
        </w:rPr>
        <w:t xml:space="preserve">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BC1243" w:rsidRPr="00BC1243" w:rsidRDefault="00BC1243" w:rsidP="00BC1243">
      <w:pPr>
        <w:rPr>
          <w:lang w:val="en-US" w:eastAsia="en-US"/>
        </w:rPr>
      </w:pPr>
    </w:p>
    <w:p w:rsidR="00BC1243" w:rsidRPr="00BC1243" w:rsidRDefault="00BC1243" w:rsidP="00BC1243">
      <w:pPr>
        <w:jc w:val="center"/>
        <w:rPr>
          <w:sz w:val="22"/>
          <w:szCs w:val="22"/>
          <w:lang w:val="en-US" w:eastAsia="en-US"/>
        </w:rPr>
      </w:pP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Ավետիսյանների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ընտանիքի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սպանության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գործով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4E3910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տասներեք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երորդ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դատական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նիստի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մասին</w:t>
      </w:r>
    </w:p>
    <w:p w:rsidR="00BC1243" w:rsidRPr="00BC1243" w:rsidRDefault="00BC1243" w:rsidP="00BC1243">
      <w:pPr>
        <w:rPr>
          <w:lang w:val="en-US" w:eastAsia="en-US"/>
        </w:rPr>
      </w:pPr>
    </w:p>
    <w:p w:rsidR="00BC1243" w:rsidRPr="004E3910" w:rsidRDefault="00BC1243" w:rsidP="00BC1243">
      <w:pPr>
        <w:jc w:val="both"/>
        <w:rPr>
          <w:sz w:val="22"/>
          <w:szCs w:val="22"/>
          <w:lang w:val="en-US" w:eastAsia="en-US"/>
        </w:rPr>
      </w:pPr>
      <w:r w:rsidRPr="004E3910">
        <w:rPr>
          <w:rFonts w:ascii="Merriweather" w:hAnsi="Merriweather"/>
          <w:sz w:val="22"/>
          <w:szCs w:val="22"/>
          <w:lang w:val="en-US" w:eastAsia="en-US"/>
        </w:rPr>
        <w:t xml:space="preserve">2016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թվականի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ապրիլի</w:t>
      </w:r>
      <w:r w:rsidRPr="004E3910">
        <w:rPr>
          <w:sz w:val="22"/>
          <w:szCs w:val="22"/>
          <w:lang w:val="en-US" w:eastAsia="en-US"/>
        </w:rPr>
        <w:t xml:space="preserve"> </w:t>
      </w:r>
      <w:r w:rsidR="004E3910" w:rsidRPr="004E3910">
        <w:rPr>
          <w:sz w:val="22"/>
          <w:szCs w:val="22"/>
          <w:lang w:val="en-US" w:eastAsia="en-US"/>
        </w:rPr>
        <w:t>8</w:t>
      </w:r>
      <w:r w:rsidRPr="004E3910">
        <w:rPr>
          <w:sz w:val="22"/>
          <w:szCs w:val="22"/>
          <w:lang w:val="en-US" w:eastAsia="en-US"/>
        </w:rPr>
        <w:t>-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ռուսական</w:t>
      </w:r>
      <w:r w:rsidRPr="004E3910">
        <w:rPr>
          <w:sz w:val="22"/>
          <w:szCs w:val="22"/>
          <w:lang w:val="en-US" w:eastAsia="en-US"/>
        </w:rPr>
        <w:t xml:space="preserve"> 102-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րդ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ռազմաբազայի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տարածքում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տեղի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ունեցավ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տասնե</w:t>
      </w:r>
      <w:r w:rsidR="004E3910" w:rsidRPr="004E3910">
        <w:rPr>
          <w:rFonts w:ascii="Sylfaen" w:hAnsi="Sylfaen" w:cs="Sylfaen"/>
          <w:sz w:val="22"/>
          <w:szCs w:val="22"/>
          <w:lang w:val="en-US" w:eastAsia="en-US"/>
        </w:rPr>
        <w:t>րեք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երորդ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նիստը՝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ընտանիքի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4E3910">
        <w:rPr>
          <w:sz w:val="22"/>
          <w:szCs w:val="22"/>
          <w:lang w:val="en-US" w:eastAsia="en-US"/>
        </w:rPr>
        <w:t>:</w:t>
      </w:r>
    </w:p>
    <w:p w:rsidR="00BC1243" w:rsidRPr="004E3910" w:rsidRDefault="00BC1243" w:rsidP="00244F4E">
      <w:pPr>
        <w:jc w:val="both"/>
        <w:rPr>
          <w:rFonts w:ascii="Sylfaen" w:hAnsi="Sylfaen"/>
          <w:sz w:val="22"/>
          <w:szCs w:val="22"/>
          <w:lang w:val="en-US" w:eastAsia="en-US"/>
        </w:rPr>
      </w:pPr>
      <w:r w:rsidRPr="004E3910">
        <w:rPr>
          <w:rFonts w:ascii="Sylfaen" w:hAnsi="Sylfaen" w:cs="Sylfaen"/>
          <w:sz w:val="22"/>
          <w:szCs w:val="22"/>
          <w:lang w:val="en-US" w:eastAsia="en-US"/>
        </w:rPr>
        <w:t>Այս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նիստին</w:t>
      </w:r>
      <w:r w:rsidRPr="004E3910">
        <w:rPr>
          <w:sz w:val="22"/>
          <w:szCs w:val="22"/>
          <w:lang w:val="en-US" w:eastAsia="en-US"/>
        </w:rPr>
        <w:t xml:space="preserve"> </w:t>
      </w:r>
      <w:r w:rsidR="00244F4E" w:rsidRPr="004E3910">
        <w:rPr>
          <w:rFonts w:ascii="Sylfaen" w:hAnsi="Sylfaen"/>
          <w:sz w:val="22"/>
          <w:szCs w:val="22"/>
          <w:lang w:val="en-US" w:eastAsia="en-US"/>
        </w:rPr>
        <w:t>հետազոտվեցին քրեական գործում առկա իրեղեն ապացույցները՝ 15 արկղ և 3 փաթեթ:</w:t>
      </w:r>
    </w:p>
    <w:p w:rsidR="00244F4E" w:rsidRPr="004E3910" w:rsidRDefault="00244F4E" w:rsidP="00244F4E">
      <w:pPr>
        <w:jc w:val="both"/>
        <w:rPr>
          <w:rFonts w:ascii="Sylfaen" w:hAnsi="Sylfaen"/>
          <w:sz w:val="22"/>
          <w:szCs w:val="22"/>
          <w:lang w:val="en-US" w:eastAsia="en-US"/>
        </w:rPr>
      </w:pPr>
      <w:r w:rsidRPr="004E3910">
        <w:rPr>
          <w:rFonts w:ascii="Sylfaen" w:hAnsi="Sylfaen"/>
          <w:sz w:val="22"/>
          <w:szCs w:val="22"/>
          <w:lang w:val="en-US" w:eastAsia="en-US"/>
        </w:rPr>
        <w:t>Իրեղեն ապացույցների մեջ էին Վ. Պեմյակովի</w:t>
      </w:r>
      <w:r w:rsidR="00C77167" w:rsidRPr="004E3910">
        <w:rPr>
          <w:rFonts w:ascii="Sylfaen" w:hAnsi="Sylfaen"/>
          <w:sz w:val="22"/>
          <w:szCs w:val="22"/>
          <w:lang w:val="en-US" w:eastAsia="en-US"/>
        </w:rPr>
        <w:t>ն ամրակցված</w:t>
      </w:r>
      <w:r w:rsidRPr="004E3910">
        <w:rPr>
          <w:rFonts w:ascii="Sylfaen" w:hAnsi="Sylfaen"/>
          <w:sz w:val="22"/>
          <w:szCs w:val="22"/>
          <w:lang w:val="en-US" w:eastAsia="en-US"/>
        </w:rPr>
        <w:t xml:space="preserve"> ինքնաձիգն ու սվին դանակը, որոնցով կատարել էր սպանությունները, հագուստները, որոնք վերջինս թողել էր Ավետիսյանների բնակարանում, մազի ու արյան նմուշները, ինչպես նաև սպանվածների հագուստները</w:t>
      </w:r>
      <w:r w:rsidR="00C77167" w:rsidRPr="004E3910">
        <w:rPr>
          <w:rFonts w:ascii="Sylfaen" w:hAnsi="Sylfaen"/>
          <w:sz w:val="22"/>
          <w:szCs w:val="22"/>
          <w:lang w:val="en-US" w:eastAsia="en-US"/>
        </w:rPr>
        <w:t>, անկողնային պարագաներ, այլ իրեր</w:t>
      </w:r>
      <w:r w:rsidRPr="004E3910">
        <w:rPr>
          <w:rFonts w:ascii="Sylfaen" w:hAnsi="Sylfaen"/>
          <w:sz w:val="22"/>
          <w:szCs w:val="22"/>
          <w:lang w:val="en-US" w:eastAsia="en-US"/>
        </w:rPr>
        <w:t>:</w:t>
      </w:r>
    </w:p>
    <w:p w:rsidR="00244F4E" w:rsidRPr="004E3910" w:rsidRDefault="00244F4E" w:rsidP="00244F4E">
      <w:pPr>
        <w:jc w:val="both"/>
        <w:rPr>
          <w:rFonts w:ascii="Sylfaen" w:hAnsi="Sylfaen"/>
          <w:sz w:val="22"/>
          <w:szCs w:val="22"/>
          <w:lang w:val="en-US" w:eastAsia="en-US"/>
        </w:rPr>
      </w:pPr>
      <w:r w:rsidRPr="004E3910">
        <w:rPr>
          <w:rFonts w:ascii="Sylfaen" w:hAnsi="Sylfaen"/>
          <w:sz w:val="22"/>
          <w:szCs w:val="22"/>
          <w:lang w:val="en-US" w:eastAsia="en-US"/>
        </w:rPr>
        <w:t>Դատական նիստի ընթացքում ցուցադրվեց նաև քրեական գործում առկա 15 տեսաերիզ</w:t>
      </w:r>
      <w:r w:rsidR="00C77167" w:rsidRPr="004E3910">
        <w:rPr>
          <w:rFonts w:ascii="Sylfaen" w:hAnsi="Sylfaen"/>
          <w:sz w:val="22"/>
          <w:szCs w:val="22"/>
          <w:lang w:val="en-US" w:eastAsia="en-US"/>
        </w:rPr>
        <w:t>ներից մեկը</w:t>
      </w:r>
      <w:r w:rsidRPr="004E3910">
        <w:rPr>
          <w:rFonts w:ascii="Sylfaen" w:hAnsi="Sylfaen"/>
          <w:sz w:val="22"/>
          <w:szCs w:val="22"/>
          <w:lang w:val="en-US" w:eastAsia="en-US"/>
        </w:rPr>
        <w:t>, որ</w:t>
      </w:r>
      <w:r w:rsidR="00C77167" w:rsidRPr="004E3910">
        <w:rPr>
          <w:rFonts w:ascii="Sylfaen" w:hAnsi="Sylfaen"/>
          <w:sz w:val="22"/>
          <w:szCs w:val="22"/>
          <w:lang w:val="en-US" w:eastAsia="en-US"/>
        </w:rPr>
        <w:t xml:space="preserve">ը պարունակում էր </w:t>
      </w:r>
      <w:r w:rsidRPr="004E3910">
        <w:rPr>
          <w:rFonts w:ascii="Sylfaen" w:hAnsi="Sylfaen"/>
          <w:sz w:val="22"/>
          <w:szCs w:val="22"/>
          <w:lang w:val="en-US" w:eastAsia="en-US"/>
        </w:rPr>
        <w:t>սպանությունից հետո Ավետիսյանների տանը արված նկարահանումներ:</w:t>
      </w:r>
    </w:p>
    <w:p w:rsidR="00C77167" w:rsidRPr="004E3910" w:rsidRDefault="00C77167" w:rsidP="00244F4E">
      <w:pPr>
        <w:jc w:val="both"/>
        <w:rPr>
          <w:rFonts w:ascii="Sylfaen" w:hAnsi="Sylfaen"/>
          <w:sz w:val="22"/>
          <w:szCs w:val="22"/>
          <w:lang w:val="en-US" w:eastAsia="en-US"/>
        </w:rPr>
      </w:pPr>
      <w:r w:rsidRPr="004E3910">
        <w:rPr>
          <w:rFonts w:ascii="Sylfaen" w:hAnsi="Sylfaen"/>
          <w:sz w:val="22"/>
          <w:szCs w:val="22"/>
          <w:lang w:val="en-US" w:eastAsia="en-US"/>
        </w:rPr>
        <w:t>Ներկայացվեցին Ավետիսյաններին պատկանող բջջային հեռախոսները, որոնք դեպքի օրը գողացել էր Վ. Պերմյակովը:</w:t>
      </w:r>
    </w:p>
    <w:p w:rsidR="00C77167" w:rsidRPr="004E3910" w:rsidRDefault="00C77167" w:rsidP="00244F4E">
      <w:pPr>
        <w:jc w:val="both"/>
        <w:rPr>
          <w:rFonts w:ascii="Sylfaen" w:hAnsi="Sylfaen"/>
          <w:sz w:val="22"/>
          <w:szCs w:val="22"/>
          <w:lang w:val="en-US" w:eastAsia="en-US"/>
        </w:rPr>
      </w:pPr>
      <w:r w:rsidRPr="004E3910">
        <w:rPr>
          <w:rFonts w:ascii="Sylfaen" w:hAnsi="Sylfaen"/>
          <w:sz w:val="22"/>
          <w:szCs w:val="22"/>
          <w:lang w:val="en-US" w:eastAsia="en-US"/>
        </w:rPr>
        <w:t xml:space="preserve">Հրապարակվեցին Վ. Պերմյակովի ծառայակիցներին որպես վկա դատարան հրավիրելու վերաբերյալ հեռագրերի՝ ռուսական կողմի պատասխանները, ըստ որոնց՝ հնարավոր չի եղել ծանուցել նրանց, քանի որ նրանց գտնվելու վայրը հայտնի չէ: </w:t>
      </w:r>
    </w:p>
    <w:p w:rsidR="00244F4E" w:rsidRPr="004E3910" w:rsidRDefault="00C77167" w:rsidP="00244F4E">
      <w:pPr>
        <w:jc w:val="both"/>
        <w:rPr>
          <w:sz w:val="22"/>
          <w:szCs w:val="22"/>
          <w:lang w:val="en-US" w:eastAsia="en-US"/>
        </w:rPr>
      </w:pPr>
      <w:r w:rsidRPr="004E3910">
        <w:rPr>
          <w:rFonts w:ascii="Sylfaen" w:hAnsi="Sylfaen"/>
          <w:sz w:val="22"/>
          <w:szCs w:val="22"/>
          <w:lang w:val="en-US" w:eastAsia="en-US"/>
        </w:rPr>
        <w:t>Տուժողների իրավահաջորդների ներկայացուցիչները միջնորդություն ներկայացրին կրկնակի հարցում ուղարկելու վերաբերյալ:</w:t>
      </w:r>
    </w:p>
    <w:p w:rsidR="00BC1243" w:rsidRPr="004E3910" w:rsidRDefault="00BC1243" w:rsidP="00BC1243">
      <w:pPr>
        <w:jc w:val="both"/>
        <w:rPr>
          <w:sz w:val="22"/>
          <w:szCs w:val="22"/>
          <w:lang w:val="en-US" w:eastAsia="en-US"/>
        </w:rPr>
      </w:pPr>
      <w:r w:rsidRPr="004E3910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Հաջորդ</w:t>
      </w:r>
      <w:r w:rsidRPr="004E3910">
        <w:rPr>
          <w:sz w:val="22"/>
          <w:szCs w:val="22"/>
          <w:shd w:val="clear" w:color="auto" w:fill="FFFFFF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դատական</w:t>
      </w:r>
      <w:r w:rsidRPr="004E3910">
        <w:rPr>
          <w:sz w:val="22"/>
          <w:szCs w:val="22"/>
          <w:shd w:val="clear" w:color="auto" w:fill="FFFFFF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նիստին</w:t>
      </w:r>
      <w:r w:rsidRPr="004E3910">
        <w:rPr>
          <w:sz w:val="22"/>
          <w:szCs w:val="22"/>
          <w:shd w:val="clear" w:color="auto" w:fill="FFFFFF"/>
          <w:lang w:val="en-US" w:eastAsia="en-US"/>
        </w:rPr>
        <w:t xml:space="preserve"> </w:t>
      </w:r>
      <w:r w:rsidR="00C77167" w:rsidRPr="004E3910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կհարցաքննվի ամբաստանյալ Վ. Պերմյակովը</w:t>
      </w:r>
      <w:r w:rsidR="0042505A" w:rsidRPr="004E3910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:</w:t>
      </w:r>
    </w:p>
    <w:p w:rsidR="00863C49" w:rsidRPr="004E3910" w:rsidRDefault="00BC1243" w:rsidP="00BC1243">
      <w:pPr>
        <w:spacing w:line="360" w:lineRule="auto"/>
        <w:jc w:val="both"/>
        <w:rPr>
          <w:rFonts w:ascii="Sylfaen" w:hAnsi="Sylfaen"/>
          <w:sz w:val="22"/>
          <w:szCs w:val="22"/>
        </w:rPr>
      </w:pPr>
      <w:r w:rsidRPr="004E3910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հաջորդ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նիստը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նշանակված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4E3910">
        <w:rPr>
          <w:sz w:val="22"/>
          <w:szCs w:val="22"/>
          <w:lang w:val="en-US" w:eastAsia="en-US"/>
        </w:rPr>
        <w:t xml:space="preserve"> 2016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թ</w:t>
      </w:r>
      <w:r w:rsidRPr="004E3910">
        <w:rPr>
          <w:sz w:val="22"/>
          <w:szCs w:val="22"/>
          <w:lang w:val="en-US" w:eastAsia="en-US"/>
        </w:rPr>
        <w:t xml:space="preserve">.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ապրիլի</w:t>
      </w:r>
      <w:r w:rsidRPr="004E3910">
        <w:rPr>
          <w:sz w:val="22"/>
          <w:szCs w:val="22"/>
          <w:lang w:val="en-US" w:eastAsia="en-US"/>
        </w:rPr>
        <w:t xml:space="preserve"> </w:t>
      </w:r>
      <w:r w:rsidR="0042505A" w:rsidRPr="004E3910">
        <w:rPr>
          <w:sz w:val="22"/>
          <w:szCs w:val="22"/>
          <w:lang w:val="en-US" w:eastAsia="en-US"/>
        </w:rPr>
        <w:t>15</w:t>
      </w:r>
      <w:r w:rsidRPr="004E3910">
        <w:rPr>
          <w:sz w:val="22"/>
          <w:szCs w:val="22"/>
          <w:lang w:val="en-US" w:eastAsia="en-US"/>
        </w:rPr>
        <w:t>-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ին՝</w:t>
      </w:r>
      <w:r w:rsidRPr="004E3910">
        <w:rPr>
          <w:sz w:val="22"/>
          <w:szCs w:val="22"/>
          <w:lang w:val="en-US" w:eastAsia="en-US"/>
        </w:rPr>
        <w:t xml:space="preserve"> 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ժամը</w:t>
      </w:r>
      <w:r w:rsidRPr="004E3910">
        <w:rPr>
          <w:sz w:val="22"/>
          <w:szCs w:val="22"/>
          <w:lang w:val="en-US" w:eastAsia="en-US"/>
        </w:rPr>
        <w:t xml:space="preserve"> 12:00-</w:t>
      </w:r>
      <w:r w:rsidRPr="004E3910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4E3910">
        <w:rPr>
          <w:rFonts w:ascii="Merriweather" w:hAnsi="Merriweather"/>
          <w:sz w:val="22"/>
          <w:szCs w:val="22"/>
          <w:lang w:val="en-US" w:eastAsia="en-US"/>
        </w:rPr>
        <w:t>:</w:t>
      </w:r>
    </w:p>
    <w:sectPr w:rsidR="00863C49" w:rsidRPr="004E3910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08" w:rsidRDefault="00114C08">
      <w:r>
        <w:separator/>
      </w:r>
    </w:p>
  </w:endnote>
  <w:endnote w:type="continuationSeparator" w:id="1">
    <w:p w:rsidR="00114C08" w:rsidRDefault="0011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B64BAB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08" w:rsidRDefault="00114C08">
      <w:r>
        <w:separator/>
      </w:r>
    </w:p>
  </w:footnote>
  <w:footnote w:type="continuationSeparator" w:id="1">
    <w:p w:rsidR="00114C08" w:rsidRDefault="0011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4507"/>
    <w:rsid w:val="001C7E85"/>
    <w:rsid w:val="001F0028"/>
    <w:rsid w:val="00244F4E"/>
    <w:rsid w:val="002615BD"/>
    <w:rsid w:val="00267707"/>
    <w:rsid w:val="00271B7E"/>
    <w:rsid w:val="002C02E0"/>
    <w:rsid w:val="002C2847"/>
    <w:rsid w:val="002F0436"/>
    <w:rsid w:val="003352A1"/>
    <w:rsid w:val="00353154"/>
    <w:rsid w:val="00360C52"/>
    <w:rsid w:val="00361D16"/>
    <w:rsid w:val="003A0569"/>
    <w:rsid w:val="003B3D43"/>
    <w:rsid w:val="003D1FA2"/>
    <w:rsid w:val="003D3D81"/>
    <w:rsid w:val="004026EA"/>
    <w:rsid w:val="0042505A"/>
    <w:rsid w:val="0044377C"/>
    <w:rsid w:val="00444131"/>
    <w:rsid w:val="0044732A"/>
    <w:rsid w:val="00451F4C"/>
    <w:rsid w:val="00460207"/>
    <w:rsid w:val="00475360"/>
    <w:rsid w:val="00481693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93034"/>
    <w:rsid w:val="00693DCC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A405E"/>
    <w:rsid w:val="008C3C0E"/>
    <w:rsid w:val="008C7090"/>
    <w:rsid w:val="008D0C75"/>
    <w:rsid w:val="00904030"/>
    <w:rsid w:val="00932687"/>
    <w:rsid w:val="00934680"/>
    <w:rsid w:val="009453E9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64BAB"/>
    <w:rsid w:val="00B672A1"/>
    <w:rsid w:val="00B749A1"/>
    <w:rsid w:val="00B95BCA"/>
    <w:rsid w:val="00B9610D"/>
    <w:rsid w:val="00BA7118"/>
    <w:rsid w:val="00BA767A"/>
    <w:rsid w:val="00BC1243"/>
    <w:rsid w:val="00BD022D"/>
    <w:rsid w:val="00BE40AD"/>
    <w:rsid w:val="00C1027E"/>
    <w:rsid w:val="00C250A3"/>
    <w:rsid w:val="00C266A7"/>
    <w:rsid w:val="00C31A9B"/>
    <w:rsid w:val="00C453D3"/>
    <w:rsid w:val="00C47EE1"/>
    <w:rsid w:val="00C77167"/>
    <w:rsid w:val="00C92433"/>
    <w:rsid w:val="00CA225B"/>
    <w:rsid w:val="00CC5CE5"/>
    <w:rsid w:val="00CE1FAC"/>
    <w:rsid w:val="00D111A7"/>
    <w:rsid w:val="00D23EEC"/>
    <w:rsid w:val="00D438FB"/>
    <w:rsid w:val="00D470BE"/>
    <w:rsid w:val="00D505D8"/>
    <w:rsid w:val="00D52D18"/>
    <w:rsid w:val="00D56B00"/>
    <w:rsid w:val="00DB02CB"/>
    <w:rsid w:val="00DC3E7C"/>
    <w:rsid w:val="00DD259A"/>
    <w:rsid w:val="00DE3851"/>
    <w:rsid w:val="00DF19A1"/>
    <w:rsid w:val="00DF71D0"/>
    <w:rsid w:val="00E152B2"/>
    <w:rsid w:val="00E424A6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FE4B-60BE-4AFB-92CE-F8AF32F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1479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3</cp:revision>
  <cp:lastPrinted>2016-04-04T08:36:00Z</cp:lastPrinted>
  <dcterms:created xsi:type="dcterms:W3CDTF">2016-04-11T12:44:00Z</dcterms:created>
  <dcterms:modified xsi:type="dcterms:W3CDTF">2016-04-12T13:24:00Z</dcterms:modified>
</cp:coreProperties>
</file>