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1C" w:rsidRPr="00AB4E70" w:rsidRDefault="005B4C1C" w:rsidP="005B4C1C">
      <w:pPr>
        <w:jc w:val="center"/>
        <w:rPr>
          <w:rFonts w:ascii="Sylfaen" w:hAnsi="Sylfaen"/>
          <w:b/>
          <w:sz w:val="22"/>
          <w:szCs w:val="22"/>
        </w:rPr>
      </w:pPr>
      <w:r w:rsidRPr="00AB4E70">
        <w:rPr>
          <w:rFonts w:ascii="Sylfaen" w:hAnsi="Sylfaen"/>
          <w:b/>
          <w:sz w:val="22"/>
          <w:szCs w:val="22"/>
        </w:rPr>
        <w:t>Մամուլի հաղորդագրություն</w:t>
      </w:r>
    </w:p>
    <w:p w:rsidR="005B4C1C" w:rsidRPr="00AB4E70" w:rsidRDefault="005B4C1C" w:rsidP="005B4C1C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0</w:t>
      </w:r>
      <w:r w:rsidR="002431CD">
        <w:rPr>
          <w:rFonts w:ascii="Sylfaen" w:hAnsi="Sylfaen"/>
          <w:b/>
          <w:sz w:val="22"/>
          <w:szCs w:val="22"/>
        </w:rPr>
        <w:t>4</w:t>
      </w:r>
      <w:r>
        <w:rPr>
          <w:rFonts w:ascii="Sylfaen" w:hAnsi="Sylfaen"/>
          <w:b/>
          <w:sz w:val="22"/>
          <w:szCs w:val="22"/>
        </w:rPr>
        <w:t xml:space="preserve"> հուլիսի</w:t>
      </w:r>
      <w:r w:rsidRPr="00AB4E70">
        <w:rPr>
          <w:rFonts w:ascii="Sylfaen" w:hAnsi="Sylfaen"/>
          <w:b/>
          <w:sz w:val="22"/>
          <w:szCs w:val="22"/>
        </w:rPr>
        <w:t xml:space="preserve"> 2016թ.</w:t>
      </w:r>
    </w:p>
    <w:p w:rsidR="005B4C1C" w:rsidRPr="00AB4E70" w:rsidRDefault="005B4C1C" w:rsidP="005B4C1C">
      <w:pPr>
        <w:jc w:val="right"/>
        <w:rPr>
          <w:rFonts w:ascii="Sylfaen" w:hAnsi="Sylfaen"/>
          <w:b/>
          <w:sz w:val="22"/>
          <w:szCs w:val="22"/>
        </w:rPr>
      </w:pPr>
    </w:p>
    <w:p w:rsidR="005B4C1C" w:rsidRPr="003804F1" w:rsidRDefault="005B4C1C" w:rsidP="005B4C1C">
      <w:pPr>
        <w:rPr>
          <w:lang w:eastAsia="en-US"/>
        </w:rPr>
      </w:pPr>
    </w:p>
    <w:p w:rsidR="005B4C1C" w:rsidRPr="003804F1" w:rsidRDefault="005B4C1C" w:rsidP="005B4C1C">
      <w:pPr>
        <w:jc w:val="center"/>
        <w:rPr>
          <w:sz w:val="22"/>
          <w:szCs w:val="22"/>
          <w:lang w:eastAsia="en-US"/>
        </w:rPr>
      </w:pPr>
      <w:proofErr w:type="spellStart"/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Ավետիսյանների</w:t>
      </w:r>
      <w:proofErr w:type="spellEnd"/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ընտանիքի</w:t>
      </w:r>
      <w:proofErr w:type="spellEnd"/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սպանության</w:t>
      </w:r>
      <w:proofErr w:type="spellEnd"/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գործով</w:t>
      </w:r>
      <w:proofErr w:type="spellEnd"/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քսան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երորդ</w:t>
      </w:r>
      <w:proofErr w:type="spellEnd"/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դատական</w:t>
      </w:r>
      <w:proofErr w:type="spellEnd"/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նիստի</w:t>
      </w:r>
      <w:proofErr w:type="spellEnd"/>
      <w:r w:rsidRPr="003804F1">
        <w:rPr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մասին</w:t>
      </w:r>
      <w:proofErr w:type="spellEnd"/>
    </w:p>
    <w:p w:rsidR="005B4C1C" w:rsidRDefault="005B4C1C" w:rsidP="005B4C1C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eastAsia="en-US"/>
        </w:rPr>
      </w:pPr>
    </w:p>
    <w:p w:rsidR="005B4C1C" w:rsidRPr="00BD01EB" w:rsidRDefault="005B4C1C" w:rsidP="005B4C1C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eastAsia="en-US"/>
        </w:rPr>
      </w:pPr>
      <w:r w:rsidRPr="00BD01EB">
        <w:rPr>
          <w:rFonts w:ascii="Sylfaen" w:hAnsi="Sylfaen"/>
          <w:sz w:val="20"/>
          <w:szCs w:val="20"/>
          <w:lang w:eastAsia="en-US"/>
        </w:rPr>
        <w:t xml:space="preserve">2016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թվականի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 w:eastAsia="en-US"/>
        </w:rPr>
        <w:t>հունիսի</w:t>
      </w:r>
      <w:proofErr w:type="spellEnd"/>
      <w:r w:rsidRPr="005B4C1C">
        <w:rPr>
          <w:rFonts w:ascii="Sylfaen" w:hAnsi="Sylfaen" w:cs="Sylfaen"/>
          <w:sz w:val="20"/>
          <w:szCs w:val="20"/>
          <w:lang w:eastAsia="en-US"/>
        </w:rPr>
        <w:t xml:space="preserve"> 30</w:t>
      </w:r>
      <w:r w:rsidRPr="00BD01EB">
        <w:rPr>
          <w:rFonts w:ascii="Sylfaen" w:hAnsi="Sylfaen"/>
          <w:sz w:val="20"/>
          <w:szCs w:val="20"/>
          <w:lang w:eastAsia="en-US"/>
        </w:rPr>
        <w:t>-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ին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ռուսական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102-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րդ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ռազմաբազայի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տարածքում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տեղի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ունեցավ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Շիրակի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մարզի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ընդհանուր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իրավասության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դատարանի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  <w:lang w:val="en-US" w:eastAsia="en-US"/>
        </w:rPr>
        <w:t>քսաներորդ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արտագնա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դատական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նիստը</w:t>
      </w:r>
      <w:proofErr w:type="spellEnd"/>
      <w:r w:rsidRPr="00BD01EB">
        <w:rPr>
          <w:rFonts w:ascii="Sylfaen" w:hAnsi="Sylfaen" w:cs="Sylfaen"/>
          <w:sz w:val="20"/>
          <w:szCs w:val="20"/>
          <w:lang w:val="en-US" w:eastAsia="en-US"/>
        </w:rPr>
        <w:t>՝</w:t>
      </w:r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Ավետիսյանների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ընտանիքի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սպանության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 xml:space="preserve"> </w:t>
      </w:r>
      <w:proofErr w:type="spellStart"/>
      <w:r w:rsidRPr="00BD01EB">
        <w:rPr>
          <w:rFonts w:ascii="Sylfaen" w:hAnsi="Sylfaen" w:cs="Sylfaen"/>
          <w:sz w:val="20"/>
          <w:szCs w:val="20"/>
          <w:lang w:val="en-US" w:eastAsia="en-US"/>
        </w:rPr>
        <w:t>գործով</w:t>
      </w:r>
      <w:proofErr w:type="spellEnd"/>
      <w:r w:rsidRPr="00BD01EB">
        <w:rPr>
          <w:rFonts w:ascii="Sylfaen" w:hAnsi="Sylfaen"/>
          <w:sz w:val="20"/>
          <w:szCs w:val="20"/>
          <w:lang w:eastAsia="en-US"/>
        </w:rPr>
        <w:t>:</w:t>
      </w:r>
    </w:p>
    <w:p w:rsidR="007F5761" w:rsidRDefault="005B4C1C" w:rsidP="005B4C1C">
      <w:pPr>
        <w:spacing w:line="276" w:lineRule="auto"/>
        <w:ind w:firstLine="708"/>
        <w:jc w:val="both"/>
        <w:rPr>
          <w:rFonts w:ascii="Sylfaen" w:hAnsi="Sylfaen" w:cs="Tahoma"/>
          <w:color w:val="000000"/>
          <w:sz w:val="20"/>
          <w:szCs w:val="20"/>
        </w:rPr>
      </w:pPr>
      <w:r w:rsidRPr="00BD01EB">
        <w:rPr>
          <w:rFonts w:ascii="Sylfaen" w:hAnsi="Sylfaen" w:cs="Tahoma"/>
          <w:color w:val="000000"/>
          <w:sz w:val="20"/>
          <w:szCs w:val="20"/>
        </w:rPr>
        <w:t>Տուժողների իրավահաջորդներ Անահիտ Կոշտոյանի, Լուսինե Ավետիսյանի, Նարինե Պողոսյանի եւ Անդրանիկ Պողոսյանի շահերը ներկայացնող փաստաբան Արամազդ Կիվիրյան</w:t>
      </w:r>
      <w:r>
        <w:rPr>
          <w:rFonts w:ascii="Sylfaen" w:hAnsi="Sylfaen" w:cs="Tahoma"/>
          <w:color w:val="000000"/>
          <w:sz w:val="20"/>
          <w:szCs w:val="20"/>
        </w:rPr>
        <w:t>ի կողմից նախորդ դատական նիստին ներկայացված քաղաքացիական հայցը</w:t>
      </w:r>
      <w:r w:rsidRPr="00BD01EB">
        <w:rPr>
          <w:rFonts w:ascii="Sylfaen" w:hAnsi="Sylfaen" w:cs="Tahoma"/>
          <w:color w:val="000000"/>
          <w:sz w:val="20"/>
          <w:szCs w:val="20"/>
        </w:rPr>
        <w:t>՝ ընդդեմ Ռուսաստանի Դաշնության</w:t>
      </w:r>
      <w:r>
        <w:rPr>
          <w:rFonts w:ascii="Sylfaen" w:hAnsi="Sylfaen" w:cs="Tahoma"/>
          <w:color w:val="000000"/>
          <w:sz w:val="20"/>
          <w:szCs w:val="20"/>
        </w:rPr>
        <w:t>՝</w:t>
      </w:r>
      <w:r w:rsidRPr="005B4C1C">
        <w:rPr>
          <w:rFonts w:ascii="Sylfaen" w:hAnsi="Sylfaen" w:cs="Tahoma"/>
          <w:color w:val="000000"/>
          <w:sz w:val="20"/>
          <w:szCs w:val="20"/>
        </w:rPr>
        <w:t xml:space="preserve"> </w:t>
      </w:r>
      <w:r w:rsidRPr="00BD01EB">
        <w:rPr>
          <w:rFonts w:ascii="Sylfaen" w:hAnsi="Sylfaen" w:cs="Tahoma"/>
          <w:color w:val="000000"/>
          <w:sz w:val="20"/>
          <w:szCs w:val="20"/>
        </w:rPr>
        <w:t>նյութական վնասի փոխհատուցման վերաբերյալ</w:t>
      </w:r>
      <w:r>
        <w:rPr>
          <w:rFonts w:ascii="Sylfaen" w:hAnsi="Sylfaen" w:cs="Tahoma"/>
          <w:color w:val="000000"/>
          <w:sz w:val="20"/>
          <w:szCs w:val="20"/>
        </w:rPr>
        <w:t>, Դատարանը մերժեց՝ պատճառաբանելով, որ հայցը ենթական չէ Շիրակի մարզի ը</w:t>
      </w:r>
      <w:r w:rsidR="007F5761">
        <w:rPr>
          <w:rFonts w:ascii="Sylfaen" w:hAnsi="Sylfaen" w:cs="Tahoma"/>
          <w:color w:val="000000"/>
          <w:sz w:val="20"/>
          <w:szCs w:val="20"/>
        </w:rPr>
        <w:t>նդհանուր իրավասության դատարանին՝ չնայած նրան, որ նախորդ դատական նիստին Դատարանը որոշում էր կայացրել քաղաքացիական հայցը վարույթ ընդունելու մասին՝ Ռուսաստանի Դաշնությանը ճանաչելով պատասխանող կողմ</w:t>
      </w:r>
      <w:r w:rsidR="00C92367">
        <w:rPr>
          <w:rFonts w:ascii="Sylfaen" w:hAnsi="Sylfaen" w:cs="Tahoma"/>
          <w:color w:val="000000"/>
          <w:sz w:val="20"/>
          <w:szCs w:val="20"/>
        </w:rPr>
        <w:t>, իսկ տուժողների իրավահաջորդներին՝ քաղաքացիական հայցվորներ</w:t>
      </w:r>
      <w:r w:rsidR="007F5761">
        <w:rPr>
          <w:rFonts w:ascii="Sylfaen" w:hAnsi="Sylfaen" w:cs="Tahoma"/>
          <w:color w:val="000000"/>
          <w:sz w:val="20"/>
          <w:szCs w:val="20"/>
        </w:rPr>
        <w:t>: Ավելին՝ հենց հայցը թարգմանելու և հասցեատերերին ուղարկելու պատճառ</w:t>
      </w:r>
      <w:r w:rsidR="00C92367">
        <w:rPr>
          <w:rFonts w:ascii="Sylfaen" w:hAnsi="Sylfaen" w:cs="Tahoma"/>
          <w:color w:val="000000"/>
          <w:sz w:val="20"/>
          <w:szCs w:val="20"/>
        </w:rPr>
        <w:t>աբանությամբ</w:t>
      </w:r>
      <w:r w:rsidR="007F5761">
        <w:rPr>
          <w:rFonts w:ascii="Sylfaen" w:hAnsi="Sylfaen" w:cs="Tahoma"/>
          <w:color w:val="000000"/>
          <w:sz w:val="20"/>
          <w:szCs w:val="20"/>
        </w:rPr>
        <w:t xml:space="preserve"> նախորդ դատական նիստը հետաձգվեց շուրջ մեկ ամսով: Սակայն հունիսի 30-ի դատական նիստի ընթացքում Դատարանը, հայցը վարույթ ընդունելու հարցը նորից քննարկելով, մերժեց այն:</w:t>
      </w:r>
    </w:p>
    <w:p w:rsidR="005B4C1C" w:rsidRPr="00BD01EB" w:rsidRDefault="005B4C1C" w:rsidP="005B4C1C">
      <w:pPr>
        <w:spacing w:line="276" w:lineRule="auto"/>
        <w:ind w:firstLine="708"/>
        <w:jc w:val="both"/>
        <w:rPr>
          <w:rFonts w:ascii="Sylfaen" w:hAnsi="Sylfaen" w:cs="Tahoma"/>
          <w:color w:val="000000"/>
          <w:sz w:val="20"/>
          <w:szCs w:val="20"/>
        </w:rPr>
      </w:pPr>
      <w:r>
        <w:rPr>
          <w:rFonts w:ascii="Sylfaen" w:hAnsi="Sylfaen" w:cs="Tahoma"/>
          <w:color w:val="000000"/>
          <w:sz w:val="20"/>
          <w:szCs w:val="20"/>
        </w:rPr>
        <w:t xml:space="preserve">Հիշեցնենք, որ վերոնշյալ հայցով </w:t>
      </w:r>
      <w:r w:rsidRPr="00BD01EB">
        <w:rPr>
          <w:rFonts w:ascii="Sylfaen" w:hAnsi="Sylfaen" w:cs="Tahoma"/>
          <w:color w:val="000000"/>
          <w:sz w:val="20"/>
          <w:szCs w:val="20"/>
        </w:rPr>
        <w:t>սպանված ընտանիքի չափահաս անդամներից յուրաքանչյուրի մասով պահանջվել է</w:t>
      </w:r>
      <w:r>
        <w:rPr>
          <w:rFonts w:ascii="Sylfaen" w:hAnsi="Sylfaen" w:cs="Tahoma"/>
          <w:color w:val="000000"/>
          <w:sz w:val="20"/>
          <w:szCs w:val="20"/>
        </w:rPr>
        <w:t>ր</w:t>
      </w:r>
      <w:r w:rsidRPr="00BD01EB">
        <w:rPr>
          <w:rFonts w:ascii="Sylfaen" w:hAnsi="Sylfaen" w:cs="Tahoma"/>
          <w:color w:val="000000"/>
          <w:sz w:val="20"/>
          <w:szCs w:val="20"/>
        </w:rPr>
        <w:t xml:space="preserve"> 50.000-ական եվրո, իսկ անչափաս երկու երեխաների մասով՝ 100.000-ական եվրո դրամական փոխհատուցում:</w:t>
      </w:r>
    </w:p>
    <w:p w:rsidR="005B4C1C" w:rsidRDefault="005B4C1C" w:rsidP="005B4C1C">
      <w:pPr>
        <w:spacing w:line="276" w:lineRule="auto"/>
        <w:ind w:firstLine="708"/>
        <w:jc w:val="both"/>
        <w:rPr>
          <w:rFonts w:ascii="Sylfaen" w:hAnsi="Sylfaen" w:cs="Tahoma"/>
          <w:color w:val="000000"/>
          <w:sz w:val="20"/>
          <w:szCs w:val="20"/>
        </w:rPr>
      </w:pPr>
      <w:r>
        <w:rPr>
          <w:rFonts w:ascii="Sylfaen" w:hAnsi="Sylfaen" w:cs="Tahoma"/>
          <w:color w:val="000000"/>
          <w:sz w:val="20"/>
          <w:szCs w:val="20"/>
        </w:rPr>
        <w:t>Հաջորդ դատական նիստին տուժողների իրավահաջորդների ներկայացուցիչների կողմից դատավոր Հարություն Մովսիսյանին ինքնաբացարկի միջնորդություն կներկայացվի:</w:t>
      </w:r>
    </w:p>
    <w:p w:rsidR="005B4C1C" w:rsidRPr="00BD01EB" w:rsidRDefault="005B4C1C" w:rsidP="005B4C1C">
      <w:pPr>
        <w:spacing w:line="276" w:lineRule="auto"/>
        <w:ind w:firstLine="708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</w:rPr>
        <w:t>Հաջորդ դատական նիստը նշանակված է 2016 թ, հուլիսի 8-ին՝ ժամը 12:00-ին:</w:t>
      </w:r>
    </w:p>
    <w:p w:rsidR="00427082" w:rsidRPr="005B4C1C" w:rsidRDefault="00427082" w:rsidP="00FD0A13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sectPr w:rsidR="00427082" w:rsidRPr="005B4C1C" w:rsidSect="00FD0F7C">
      <w:headerReference w:type="default" r:id="rId7"/>
      <w:footerReference w:type="even" r:id="rId8"/>
      <w:footerReference w:type="default" r:id="rId9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87" w:rsidRDefault="00611A87">
      <w:r>
        <w:separator/>
      </w:r>
    </w:p>
  </w:endnote>
  <w:endnote w:type="continuationSeparator" w:id="0">
    <w:p w:rsidR="00611A87" w:rsidRDefault="0061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82" w:rsidRDefault="006405ED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0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082" w:rsidRDefault="00427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82" w:rsidRPr="002D2062" w:rsidRDefault="00427082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427082" w:rsidRDefault="00427082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427082" w:rsidRPr="009A5497" w:rsidRDefault="00427082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9A5497">
          <w:rPr>
            <w:sz w:val="14"/>
            <w:szCs w:val="14"/>
            <w:lang w:val="en-US"/>
          </w:rPr>
          <w:t xml:space="preserve">59 </w:t>
        </w:r>
        <w:proofErr w:type="spellStart"/>
        <w:r w:rsidRPr="009A5497">
          <w:rPr>
            <w:sz w:val="14"/>
            <w:szCs w:val="14"/>
            <w:lang w:val="en-US"/>
          </w:rPr>
          <w:t>Tigran</w:t>
        </w:r>
        <w:proofErr w:type="spellEnd"/>
        <w:r w:rsidRPr="009A5497">
          <w:rPr>
            <w:sz w:val="14"/>
            <w:szCs w:val="14"/>
            <w:lang w:val="en-US"/>
          </w:rPr>
          <w:t xml:space="preserve"> </w:t>
        </w:r>
        <w:proofErr w:type="gramStart"/>
        <w:r w:rsidRPr="009A5497">
          <w:rPr>
            <w:sz w:val="14"/>
            <w:szCs w:val="14"/>
            <w:lang w:val="en-US"/>
          </w:rPr>
          <w:t xml:space="preserve">Mets  </w:t>
        </w:r>
        <w:r>
          <w:rPr>
            <w:sz w:val="14"/>
            <w:szCs w:val="14"/>
            <w:lang w:val="en-US"/>
          </w:rPr>
          <w:t>S</w:t>
        </w:r>
        <w:r w:rsidRPr="009A5497">
          <w:rPr>
            <w:sz w:val="14"/>
            <w:szCs w:val="14"/>
            <w:lang w:val="en-US"/>
          </w:rPr>
          <w:t>t</w:t>
        </w:r>
        <w:proofErr w:type="gramEnd"/>
        <w:r w:rsidRPr="009A5497">
          <w:rPr>
            <w:sz w:val="14"/>
            <w:szCs w:val="14"/>
            <w:lang w:val="en-US"/>
          </w:rPr>
          <w:t>.</w:t>
        </w:r>
      </w:smartTag>
    </w:smartTag>
    <w:r w:rsidRPr="009A5497">
      <w:rPr>
        <w:sz w:val="14"/>
        <w:szCs w:val="14"/>
        <w:lang w:val="en-US"/>
      </w:rPr>
      <w:t xml:space="preserve">, </w:t>
    </w:r>
    <w:proofErr w:type="spellStart"/>
    <w:r w:rsidRPr="009A5497">
      <w:rPr>
        <w:sz w:val="14"/>
        <w:szCs w:val="14"/>
        <w:lang w:val="en-US"/>
      </w:rPr>
      <w:t>Vanadzor</w:t>
    </w:r>
    <w:proofErr w:type="spellEnd"/>
    <w:r w:rsidRPr="009A5497">
      <w:rPr>
        <w:sz w:val="14"/>
        <w:szCs w:val="14"/>
        <w:lang w:val="en-US"/>
      </w:rPr>
      <w:t xml:space="preserve">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</w:t>
    </w:r>
    <w:smartTag w:uri="urn:schemas-microsoft-com:office:smarttags" w:element="place">
      <w:smartTag w:uri="urn:schemas-microsoft-com:office:smarttags" w:element="PlaceType">
        <w:r w:rsidRPr="009A5497">
          <w:rPr>
            <w:sz w:val="14"/>
            <w:szCs w:val="14"/>
            <w:lang w:val="en-US"/>
          </w:rPr>
          <w:t>Republic</w:t>
        </w:r>
      </w:smartTag>
      <w:r w:rsidRPr="009A5497">
        <w:rPr>
          <w:sz w:val="14"/>
          <w:szCs w:val="14"/>
          <w:lang w:val="en-US"/>
        </w:rPr>
        <w:t xml:space="preserve"> of </w:t>
      </w:r>
      <w:smartTag w:uri="urn:schemas-microsoft-com:office:smarttags" w:element="place">
        <w:r w:rsidRPr="009A5497">
          <w:rPr>
            <w:sz w:val="14"/>
            <w:szCs w:val="14"/>
            <w:lang w:val="en-US"/>
          </w:rPr>
          <w:t>Armenia</w:t>
        </w:r>
      </w:smartTag>
    </w:smartTag>
    <w:r w:rsidRPr="009A5497">
      <w:rPr>
        <w:sz w:val="14"/>
        <w:szCs w:val="14"/>
        <w:lang w:val="en-US"/>
      </w:rPr>
      <w:t xml:space="preserve">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427082" w:rsidRPr="009A5497" w:rsidRDefault="00427082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427082" w:rsidRPr="00DF71D0" w:rsidRDefault="00427082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427082" w:rsidRDefault="00427082" w:rsidP="00F805AC">
    <w:pPr>
      <w:pStyle w:val="Footer"/>
      <w:framePr w:wrap="around" w:vAnchor="text" w:hAnchor="page" w:x="1261" w:y="-361"/>
      <w:rPr>
        <w:rStyle w:val="PageNumber"/>
      </w:rPr>
    </w:pPr>
  </w:p>
  <w:p w:rsidR="00427082" w:rsidRDefault="00427082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87" w:rsidRDefault="00611A87">
      <w:r>
        <w:separator/>
      </w:r>
    </w:p>
  </w:footnote>
  <w:footnote w:type="continuationSeparator" w:id="0">
    <w:p w:rsidR="00611A87" w:rsidRDefault="00611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82" w:rsidRDefault="00C976A8" w:rsidP="00F15383">
    <w:pPr>
      <w:pStyle w:val="BodyText2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1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7082" w:rsidRPr="006251B7" w:rsidRDefault="00427082" w:rsidP="00A549B0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427082" w:rsidRPr="00DF71D0" w:rsidRDefault="00427082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427082" w:rsidRPr="00EE321A" w:rsidRDefault="00427082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427082" w:rsidRPr="00F15383" w:rsidRDefault="00427082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A0569"/>
    <w:rsid w:val="00004C63"/>
    <w:rsid w:val="00025ADA"/>
    <w:rsid w:val="00026D49"/>
    <w:rsid w:val="0005299F"/>
    <w:rsid w:val="00067945"/>
    <w:rsid w:val="00077278"/>
    <w:rsid w:val="000A3045"/>
    <w:rsid w:val="000C010C"/>
    <w:rsid w:val="000E21C2"/>
    <w:rsid w:val="000E25C5"/>
    <w:rsid w:val="000F1F5E"/>
    <w:rsid w:val="000F5B7A"/>
    <w:rsid w:val="00114C08"/>
    <w:rsid w:val="001334CD"/>
    <w:rsid w:val="001337F2"/>
    <w:rsid w:val="0015183C"/>
    <w:rsid w:val="00163223"/>
    <w:rsid w:val="00174507"/>
    <w:rsid w:val="001C7E85"/>
    <w:rsid w:val="001F0028"/>
    <w:rsid w:val="0020182C"/>
    <w:rsid w:val="00212E38"/>
    <w:rsid w:val="002431CD"/>
    <w:rsid w:val="00244F4E"/>
    <w:rsid w:val="002615BD"/>
    <w:rsid w:val="00267707"/>
    <w:rsid w:val="00271B7E"/>
    <w:rsid w:val="002B7CB3"/>
    <w:rsid w:val="002C02E0"/>
    <w:rsid w:val="002C2847"/>
    <w:rsid w:val="002D2062"/>
    <w:rsid w:val="002F0436"/>
    <w:rsid w:val="003044DE"/>
    <w:rsid w:val="003352A1"/>
    <w:rsid w:val="00353154"/>
    <w:rsid w:val="00360C52"/>
    <w:rsid w:val="00361D16"/>
    <w:rsid w:val="00366246"/>
    <w:rsid w:val="003770D7"/>
    <w:rsid w:val="003A0569"/>
    <w:rsid w:val="003B3D43"/>
    <w:rsid w:val="003D1FA2"/>
    <w:rsid w:val="003D3D81"/>
    <w:rsid w:val="004026EA"/>
    <w:rsid w:val="0042505A"/>
    <w:rsid w:val="00427082"/>
    <w:rsid w:val="0044377C"/>
    <w:rsid w:val="00444131"/>
    <w:rsid w:val="0044732A"/>
    <w:rsid w:val="00451F4C"/>
    <w:rsid w:val="00460207"/>
    <w:rsid w:val="00475360"/>
    <w:rsid w:val="00475C8C"/>
    <w:rsid w:val="00481693"/>
    <w:rsid w:val="004B742D"/>
    <w:rsid w:val="004D00BB"/>
    <w:rsid w:val="004E3910"/>
    <w:rsid w:val="004F1486"/>
    <w:rsid w:val="00506A06"/>
    <w:rsid w:val="0052789B"/>
    <w:rsid w:val="00544FB0"/>
    <w:rsid w:val="005652AE"/>
    <w:rsid w:val="005B193C"/>
    <w:rsid w:val="005B4C1C"/>
    <w:rsid w:val="005C41A2"/>
    <w:rsid w:val="005D0C98"/>
    <w:rsid w:val="005F27D8"/>
    <w:rsid w:val="005F6287"/>
    <w:rsid w:val="006012E8"/>
    <w:rsid w:val="00610FB1"/>
    <w:rsid w:val="00611A87"/>
    <w:rsid w:val="0062184D"/>
    <w:rsid w:val="006251B7"/>
    <w:rsid w:val="00626F91"/>
    <w:rsid w:val="00632E8A"/>
    <w:rsid w:val="006405ED"/>
    <w:rsid w:val="00646039"/>
    <w:rsid w:val="00657106"/>
    <w:rsid w:val="00690837"/>
    <w:rsid w:val="00693034"/>
    <w:rsid w:val="00693DCC"/>
    <w:rsid w:val="006A1BF9"/>
    <w:rsid w:val="006B1005"/>
    <w:rsid w:val="006B3785"/>
    <w:rsid w:val="006B696A"/>
    <w:rsid w:val="006D10F1"/>
    <w:rsid w:val="006D45EF"/>
    <w:rsid w:val="006F57AE"/>
    <w:rsid w:val="007257F2"/>
    <w:rsid w:val="00793066"/>
    <w:rsid w:val="0079658D"/>
    <w:rsid w:val="007A3B5D"/>
    <w:rsid w:val="007A4042"/>
    <w:rsid w:val="007D5E35"/>
    <w:rsid w:val="007E4E7E"/>
    <w:rsid w:val="007F5761"/>
    <w:rsid w:val="00801BD2"/>
    <w:rsid w:val="00802BC9"/>
    <w:rsid w:val="00804B4D"/>
    <w:rsid w:val="00806654"/>
    <w:rsid w:val="00830F2F"/>
    <w:rsid w:val="00862BC6"/>
    <w:rsid w:val="00863C49"/>
    <w:rsid w:val="00866BF3"/>
    <w:rsid w:val="00876759"/>
    <w:rsid w:val="008776B6"/>
    <w:rsid w:val="008A405E"/>
    <w:rsid w:val="008A64C8"/>
    <w:rsid w:val="008A6B9F"/>
    <w:rsid w:val="008C3C0E"/>
    <w:rsid w:val="008C7090"/>
    <w:rsid w:val="008C789C"/>
    <w:rsid w:val="008D0C75"/>
    <w:rsid w:val="00904030"/>
    <w:rsid w:val="00932687"/>
    <w:rsid w:val="00934680"/>
    <w:rsid w:val="009453E9"/>
    <w:rsid w:val="00967B70"/>
    <w:rsid w:val="0097053A"/>
    <w:rsid w:val="0098380B"/>
    <w:rsid w:val="009A2773"/>
    <w:rsid w:val="009A5497"/>
    <w:rsid w:val="009B457C"/>
    <w:rsid w:val="009B4D93"/>
    <w:rsid w:val="009D3B22"/>
    <w:rsid w:val="009D650B"/>
    <w:rsid w:val="00A549B0"/>
    <w:rsid w:val="00A561D3"/>
    <w:rsid w:val="00A72C4B"/>
    <w:rsid w:val="00A737ED"/>
    <w:rsid w:val="00A7477C"/>
    <w:rsid w:val="00A8316A"/>
    <w:rsid w:val="00A97590"/>
    <w:rsid w:val="00AA5EAA"/>
    <w:rsid w:val="00AB4E70"/>
    <w:rsid w:val="00AC7B5C"/>
    <w:rsid w:val="00B109F0"/>
    <w:rsid w:val="00B13DF3"/>
    <w:rsid w:val="00B1517D"/>
    <w:rsid w:val="00B258B8"/>
    <w:rsid w:val="00B34FA4"/>
    <w:rsid w:val="00B41016"/>
    <w:rsid w:val="00B51503"/>
    <w:rsid w:val="00B64BAB"/>
    <w:rsid w:val="00B672A1"/>
    <w:rsid w:val="00B749A1"/>
    <w:rsid w:val="00B8224B"/>
    <w:rsid w:val="00B95BCA"/>
    <w:rsid w:val="00B9610D"/>
    <w:rsid w:val="00BA10E7"/>
    <w:rsid w:val="00BA7118"/>
    <w:rsid w:val="00BA767A"/>
    <w:rsid w:val="00BC1243"/>
    <w:rsid w:val="00BC54AF"/>
    <w:rsid w:val="00BD022D"/>
    <w:rsid w:val="00BE40AD"/>
    <w:rsid w:val="00BE7353"/>
    <w:rsid w:val="00C1027E"/>
    <w:rsid w:val="00C250A3"/>
    <w:rsid w:val="00C266A7"/>
    <w:rsid w:val="00C31A9B"/>
    <w:rsid w:val="00C453D3"/>
    <w:rsid w:val="00C47EE1"/>
    <w:rsid w:val="00C77167"/>
    <w:rsid w:val="00C92367"/>
    <w:rsid w:val="00C92433"/>
    <w:rsid w:val="00C976A8"/>
    <w:rsid w:val="00CA225B"/>
    <w:rsid w:val="00CB017B"/>
    <w:rsid w:val="00CC5CE5"/>
    <w:rsid w:val="00CE1FAC"/>
    <w:rsid w:val="00D111A7"/>
    <w:rsid w:val="00D204B9"/>
    <w:rsid w:val="00D23EEC"/>
    <w:rsid w:val="00D438FB"/>
    <w:rsid w:val="00D470BE"/>
    <w:rsid w:val="00D505D8"/>
    <w:rsid w:val="00D52D18"/>
    <w:rsid w:val="00D5630D"/>
    <w:rsid w:val="00D56B00"/>
    <w:rsid w:val="00D772ED"/>
    <w:rsid w:val="00DB02CB"/>
    <w:rsid w:val="00DB618A"/>
    <w:rsid w:val="00DC3E7C"/>
    <w:rsid w:val="00DD259A"/>
    <w:rsid w:val="00DE3851"/>
    <w:rsid w:val="00DF19A1"/>
    <w:rsid w:val="00DF71D0"/>
    <w:rsid w:val="00E152B2"/>
    <w:rsid w:val="00E32D5B"/>
    <w:rsid w:val="00E424A6"/>
    <w:rsid w:val="00E4651B"/>
    <w:rsid w:val="00E50B5E"/>
    <w:rsid w:val="00E81661"/>
    <w:rsid w:val="00E930CB"/>
    <w:rsid w:val="00E9369C"/>
    <w:rsid w:val="00EA00C8"/>
    <w:rsid w:val="00EA5A8E"/>
    <w:rsid w:val="00EB1536"/>
    <w:rsid w:val="00EE20F4"/>
    <w:rsid w:val="00EE321A"/>
    <w:rsid w:val="00F0272E"/>
    <w:rsid w:val="00F15383"/>
    <w:rsid w:val="00F2583F"/>
    <w:rsid w:val="00F35213"/>
    <w:rsid w:val="00F47C98"/>
    <w:rsid w:val="00F7241C"/>
    <w:rsid w:val="00F805AC"/>
    <w:rsid w:val="00F87253"/>
    <w:rsid w:val="00F9030E"/>
    <w:rsid w:val="00F937E7"/>
    <w:rsid w:val="00F96B3B"/>
    <w:rsid w:val="00FB5004"/>
    <w:rsid w:val="00FC17FF"/>
    <w:rsid w:val="00FD0A13"/>
    <w:rsid w:val="00FD0F7C"/>
    <w:rsid w:val="00FD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hu-H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E35"/>
    <w:rPr>
      <w:rFonts w:ascii="Cambria" w:hAnsi="Cambria" w:cs="Times New Roman"/>
      <w:b/>
      <w:bCs/>
      <w:kern w:val="32"/>
      <w:sz w:val="32"/>
      <w:szCs w:val="32"/>
      <w:lang w:val="hu-HU"/>
    </w:rPr>
  </w:style>
  <w:style w:type="paragraph" w:styleId="Footer">
    <w:name w:val="footer"/>
    <w:basedOn w:val="Normal"/>
    <w:link w:val="FooterChar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5E35"/>
    <w:rPr>
      <w:rFonts w:cs="Times New Roman"/>
      <w:sz w:val="24"/>
      <w:szCs w:val="24"/>
      <w:lang w:val="hu-HU"/>
    </w:rPr>
  </w:style>
  <w:style w:type="character" w:styleId="PageNumber">
    <w:name w:val="page number"/>
    <w:basedOn w:val="DefaultParagraphFont"/>
    <w:uiPriority w:val="99"/>
    <w:rsid w:val="00B95B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5E35"/>
    <w:rPr>
      <w:rFonts w:cs="Times New Roman"/>
      <w:sz w:val="24"/>
      <w:szCs w:val="24"/>
      <w:lang w:val="hu-HU"/>
    </w:rPr>
  </w:style>
  <w:style w:type="paragraph" w:styleId="BodyText2">
    <w:name w:val="Body Text 2"/>
    <w:basedOn w:val="Normal"/>
    <w:link w:val="BodyText2Char"/>
    <w:uiPriority w:val="99"/>
    <w:rsid w:val="00F15383"/>
    <w:rPr>
      <w:b/>
      <w:sz w:val="20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E35"/>
    <w:rPr>
      <w:rFonts w:cs="Times New Roman"/>
      <w:sz w:val="24"/>
      <w:szCs w:val="24"/>
      <w:lang w:val="hu-HU"/>
    </w:rPr>
  </w:style>
  <w:style w:type="character" w:styleId="Hyperlink">
    <w:name w:val="Hyperlink"/>
    <w:basedOn w:val="DefaultParagraphFont"/>
    <w:uiPriority w:val="99"/>
    <w:rsid w:val="00EE32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E35"/>
    <w:rPr>
      <w:rFonts w:cs="Times New Roman"/>
      <w:sz w:val="2"/>
      <w:lang w:val="hu-HU"/>
    </w:rPr>
  </w:style>
  <w:style w:type="paragraph" w:styleId="ListParagraph">
    <w:name w:val="List Paragraph"/>
    <w:basedOn w:val="Normal"/>
    <w:uiPriority w:val="99"/>
    <w:qFormat/>
    <w:rsid w:val="00CE1F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uiPriority w:val="99"/>
    <w:rsid w:val="00CE1FAC"/>
    <w:pPr>
      <w:widowControl w:val="0"/>
      <w:suppressLineNumbers/>
      <w:suppressAutoHyphens/>
    </w:pPr>
    <w:rPr>
      <w:kern w:val="1"/>
      <w:lang w:val="ru-RU" w:eastAsia="en-US"/>
    </w:rPr>
  </w:style>
  <w:style w:type="paragraph" w:styleId="NormalWeb">
    <w:name w:val="Normal (Web)"/>
    <w:basedOn w:val="Normal"/>
    <w:uiPriority w:val="99"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uiPriority w:val="99"/>
    <w:rsid w:val="00CE1FAC"/>
    <w:rPr>
      <w:vertAlign w:val="superscript"/>
    </w:rPr>
  </w:style>
  <w:style w:type="character" w:customStyle="1" w:styleId="1">
    <w:name w:val="Знак сноски1"/>
    <w:uiPriority w:val="99"/>
    <w:rsid w:val="00CE1FAC"/>
    <w:rPr>
      <w:vertAlign w:val="superscript"/>
    </w:rPr>
  </w:style>
  <w:style w:type="character" w:customStyle="1" w:styleId="WW8Num2z0">
    <w:name w:val="WW8Num2z0"/>
    <w:uiPriority w:val="99"/>
    <w:rsid w:val="00CE1FAC"/>
    <w:rPr>
      <w:rFonts w:ascii="Wingdings" w:hAnsi="Wingdings"/>
    </w:rPr>
  </w:style>
  <w:style w:type="paragraph" w:styleId="BodyText">
    <w:name w:val="Body Text"/>
    <w:basedOn w:val="Normal"/>
    <w:link w:val="BodyTextChar"/>
    <w:uiPriority w:val="99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1FAC"/>
    <w:rPr>
      <w:rFonts w:cs="Times New Roman"/>
      <w:sz w:val="24"/>
      <w:szCs w:val="24"/>
      <w:lang w:val="hu-HU" w:eastAsia="ar-SA" w:bidi="ar-SA"/>
    </w:rPr>
  </w:style>
  <w:style w:type="paragraph" w:styleId="FootnoteText">
    <w:name w:val="footnote text"/>
    <w:aliases w:val="single space"/>
    <w:basedOn w:val="Normal"/>
    <w:link w:val="FootnoteTextChar2"/>
    <w:uiPriority w:val="99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uiPriority w:val="99"/>
    <w:semiHidden/>
    <w:locked/>
    <w:rsid w:val="007D5E35"/>
    <w:rPr>
      <w:rFonts w:cs="Times New Roman"/>
      <w:sz w:val="20"/>
      <w:szCs w:val="20"/>
      <w:lang w:val="hu-HU"/>
    </w:rPr>
  </w:style>
  <w:style w:type="character" w:customStyle="1" w:styleId="FootnoteTextChar2">
    <w:name w:val="Footnote Text Char2"/>
    <w:aliases w:val="single space Char1"/>
    <w:basedOn w:val="DefaultParagraphFont"/>
    <w:link w:val="FootnoteText"/>
    <w:uiPriority w:val="99"/>
    <w:locked/>
    <w:rsid w:val="00CE1FAC"/>
    <w:rPr>
      <w:rFonts w:cs="Times New Roman"/>
      <w:lang w:val="hu-HU" w:eastAsia="ar-SA" w:bidi="ar-SA"/>
    </w:rPr>
  </w:style>
  <w:style w:type="character" w:styleId="FootnoteReference">
    <w:name w:val="footnote reference"/>
    <w:basedOn w:val="DefaultParagraphFont"/>
    <w:uiPriority w:val="99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uiPriority w:val="99"/>
    <w:locked/>
    <w:rsid w:val="00693034"/>
    <w:rPr>
      <w:rFonts w:ascii="Calibri" w:hAnsi="Calibri"/>
      <w:sz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06794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67945"/>
    <w:rPr>
      <w:rFonts w:cs="Times New Roman"/>
    </w:rPr>
  </w:style>
  <w:style w:type="table" w:styleId="TableGrid">
    <w:name w:val="Table Grid"/>
    <w:basedOn w:val="TableNormal"/>
    <w:uiPriority w:val="9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“Helsinki Citizens` Assembly (HCA) - Vanadzor” was founded on 21 March, 1998, as a branch of the Armenian Committee of the</vt:lpstr>
    </vt:vector>
  </TitlesOfParts>
  <Company>MASTER LTD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Narine</dc:creator>
  <cp:lastModifiedBy>Narine</cp:lastModifiedBy>
  <cp:revision>4</cp:revision>
  <cp:lastPrinted>2016-04-04T08:36:00Z</cp:lastPrinted>
  <dcterms:created xsi:type="dcterms:W3CDTF">2016-07-01T14:43:00Z</dcterms:created>
  <dcterms:modified xsi:type="dcterms:W3CDTF">2016-07-04T13:42:00Z</dcterms:modified>
</cp:coreProperties>
</file>